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99894A">
      <w:pPr>
        <w:widowControl/>
        <w:spacing w:line="560" w:lineRule="exact"/>
        <w:jc w:val="center"/>
        <w:rPr>
          <w:rFonts w:hint="eastAsia" w:eastAsia="方正小标宋简体"/>
          <w:bCs/>
          <w:color w:val="auto"/>
          <w:sz w:val="44"/>
          <w:szCs w:val="44"/>
        </w:rPr>
      </w:pPr>
      <w:r>
        <w:rPr>
          <w:rFonts w:hint="eastAsia" w:eastAsia="方正小标宋简体"/>
          <w:bCs/>
          <w:color w:val="auto"/>
          <w:sz w:val="44"/>
          <w:szCs w:val="44"/>
        </w:rPr>
        <w:t>原创性高质量团体标准</w:t>
      </w:r>
    </w:p>
    <w:p w14:paraId="2C7E41E4">
      <w:pPr>
        <w:widowControl/>
        <w:spacing w:line="560" w:lineRule="exact"/>
        <w:jc w:val="center"/>
        <w:rPr>
          <w:rFonts w:eastAsia="方正小标宋简体"/>
          <w:bCs/>
          <w:color w:val="auto"/>
          <w:sz w:val="44"/>
          <w:szCs w:val="44"/>
        </w:rPr>
      </w:pPr>
      <w:r>
        <w:rPr>
          <w:rFonts w:hint="eastAsia" w:eastAsia="方正小标宋简体"/>
          <w:bCs/>
          <w:color w:val="auto"/>
          <w:sz w:val="44"/>
          <w:szCs w:val="44"/>
        </w:rPr>
        <w:t>《</w:t>
      </w:r>
      <w:r>
        <w:rPr>
          <w:rFonts w:hint="eastAsia" w:eastAsia="方正小标宋简体"/>
          <w:color w:val="auto"/>
          <w:sz w:val="44"/>
          <w:szCs w:val="44"/>
          <w:lang w:eastAsia="zh-CN"/>
        </w:rPr>
        <w:t>南宁老友粉原料  竹笋种苗繁育技术规程</w:t>
      </w:r>
      <w:r>
        <w:rPr>
          <w:rFonts w:hint="eastAsia" w:eastAsia="方正小标宋简体"/>
          <w:bCs/>
          <w:color w:val="auto"/>
          <w:sz w:val="44"/>
          <w:szCs w:val="44"/>
        </w:rPr>
        <w:t>》（</w:t>
      </w:r>
      <w:r>
        <w:rPr>
          <w:rFonts w:hint="eastAsia" w:eastAsia="方正小标宋简体"/>
          <w:bCs/>
          <w:color w:val="auto"/>
          <w:sz w:val="44"/>
          <w:szCs w:val="44"/>
          <w:lang w:val="en-US" w:eastAsia="zh-CN"/>
        </w:rPr>
        <w:t>征求意见</w:t>
      </w:r>
      <w:r>
        <w:rPr>
          <w:rFonts w:hint="eastAsia" w:eastAsia="方正小标宋简体"/>
          <w:bCs/>
          <w:color w:val="auto"/>
          <w:sz w:val="44"/>
          <w:szCs w:val="44"/>
        </w:rPr>
        <w:t>稿）编制说明</w:t>
      </w:r>
    </w:p>
    <w:p w14:paraId="02B2971B">
      <w:pPr>
        <w:rPr>
          <w:rFonts w:hint="eastAsia" w:ascii="宋体" w:hAnsi="宋体"/>
          <w:color w:val="auto"/>
          <w:sz w:val="24"/>
          <w:szCs w:val="24"/>
        </w:rPr>
      </w:pPr>
    </w:p>
    <w:p w14:paraId="185BA108">
      <w:pPr>
        <w:numPr>
          <w:ilvl w:val="0"/>
          <w:numId w:val="2"/>
        </w:numPr>
        <w:overflowPunct w:val="0"/>
        <w:topLinePunct/>
        <w:spacing w:line="560" w:lineRule="exact"/>
        <w:outlineLvl w:val="0"/>
        <w:rPr>
          <w:rFonts w:eastAsia="黑体"/>
          <w:bCs/>
          <w:color w:val="auto"/>
          <w:sz w:val="32"/>
          <w:szCs w:val="32"/>
        </w:rPr>
      </w:pPr>
      <w:r>
        <w:rPr>
          <w:rFonts w:hint="eastAsia" w:eastAsia="黑体"/>
          <w:bCs/>
          <w:color w:val="auto"/>
          <w:sz w:val="32"/>
          <w:szCs w:val="32"/>
        </w:rPr>
        <w:t>任务来源、起草单位、起草人</w:t>
      </w:r>
    </w:p>
    <w:p w14:paraId="0E3D688F">
      <w:pPr>
        <w:overflowPunct w:val="0"/>
        <w:topLinePunct/>
        <w:spacing w:line="560" w:lineRule="exact"/>
        <w:ind w:firstLine="640"/>
        <w:rPr>
          <w:rFonts w:eastAsia="仿宋_GB2312"/>
          <w:color w:val="auto"/>
          <w:sz w:val="32"/>
          <w:szCs w:val="32"/>
        </w:rPr>
      </w:pPr>
      <w:r>
        <w:rPr>
          <w:rFonts w:hint="eastAsia" w:eastAsia="仿宋_GB2312" w:cs="Times New Roman"/>
          <w:color w:val="auto"/>
          <w:sz w:val="32"/>
          <w:szCs w:val="32"/>
        </w:rPr>
        <w:t>根据《广西标准化协会关于下达202</w:t>
      </w:r>
      <w:r>
        <w:rPr>
          <w:rFonts w:hint="eastAsia" w:eastAsia="仿宋_GB2312" w:cs="Times New Roman"/>
          <w:color w:val="auto"/>
          <w:sz w:val="32"/>
          <w:szCs w:val="32"/>
          <w:lang w:val="en-US" w:eastAsia="zh-CN"/>
        </w:rPr>
        <w:t>5</w:t>
      </w:r>
      <w:r>
        <w:rPr>
          <w:rFonts w:hint="eastAsia" w:eastAsia="仿宋_GB2312" w:cs="Times New Roman"/>
          <w:color w:val="auto"/>
          <w:sz w:val="32"/>
          <w:szCs w:val="32"/>
        </w:rPr>
        <w:t>年第</w:t>
      </w:r>
      <w:r>
        <w:rPr>
          <w:rFonts w:hint="eastAsia" w:eastAsia="仿宋_GB2312" w:cs="Times New Roman"/>
          <w:color w:val="auto"/>
          <w:sz w:val="32"/>
          <w:szCs w:val="32"/>
          <w:lang w:val="en-US" w:eastAsia="zh-CN"/>
        </w:rPr>
        <w:t>四十二</w:t>
      </w:r>
      <w:r>
        <w:rPr>
          <w:rFonts w:hint="eastAsia" w:eastAsia="仿宋_GB2312" w:cs="Times New Roman"/>
          <w:color w:val="auto"/>
          <w:sz w:val="32"/>
          <w:szCs w:val="32"/>
        </w:rPr>
        <w:t>批团体标准制修订项目计划的通知》（桂标协〔202</w:t>
      </w:r>
      <w:r>
        <w:rPr>
          <w:rFonts w:hint="eastAsia" w:eastAsia="仿宋_GB2312" w:cs="Times New Roman"/>
          <w:color w:val="auto"/>
          <w:sz w:val="32"/>
          <w:szCs w:val="32"/>
          <w:lang w:val="en-US" w:eastAsia="zh-CN"/>
        </w:rPr>
        <w:t>5</w:t>
      </w:r>
      <w:r>
        <w:rPr>
          <w:rFonts w:hint="eastAsia" w:eastAsia="仿宋_GB2312" w:cs="Times New Roman"/>
          <w:color w:val="auto"/>
          <w:sz w:val="32"/>
          <w:szCs w:val="32"/>
        </w:rPr>
        <w:t>〕</w:t>
      </w:r>
      <w:r>
        <w:rPr>
          <w:rFonts w:hint="eastAsia" w:eastAsia="仿宋_GB2312" w:cs="Times New Roman"/>
          <w:color w:val="auto"/>
          <w:sz w:val="32"/>
          <w:szCs w:val="32"/>
          <w:lang w:val="en-US" w:eastAsia="zh-CN"/>
        </w:rPr>
        <w:t>384</w:t>
      </w:r>
      <w:r>
        <w:rPr>
          <w:rFonts w:hint="eastAsia" w:eastAsia="仿宋_GB2312" w:cs="Times New Roman"/>
          <w:color w:val="auto"/>
          <w:sz w:val="32"/>
          <w:szCs w:val="32"/>
        </w:rPr>
        <w:t>号）精神，由南宁市林业局提出，南宁市林业科学研究所、广西壮族自治区林业科学研究院、南宁市老友粉协会、广西标准化协会、广西复记食品科技有限公司、广西穗良甜竹科技有限公司、广西南宁市韩太食品有限责任公司、南宁市武鸣区仙笋农业专业合作社、横州市平朗镇和威麻竹笋加工种植专业合作社、南宁林业发展集团有限责任公司、南宁市食品药品检验所、广西猪霸王餐饮管理有限公司、南宁职业技术大学、南宁市</w:t>
      </w:r>
      <w:r>
        <w:rPr>
          <w:rFonts w:hint="eastAsia" w:eastAsia="仿宋_GB2312" w:cs="Times New Roman"/>
          <w:color w:val="auto"/>
          <w:sz w:val="32"/>
          <w:szCs w:val="32"/>
          <w:lang w:eastAsia="zh-CN"/>
        </w:rPr>
        <w:t>第一</w:t>
      </w:r>
      <w:r>
        <w:rPr>
          <w:rFonts w:hint="eastAsia" w:eastAsia="仿宋_GB2312" w:cs="Times New Roman"/>
          <w:color w:val="auto"/>
          <w:sz w:val="32"/>
          <w:szCs w:val="32"/>
        </w:rPr>
        <w:t>职业技术学校、广西职业技术学院、广西工商职业技术学院、广西农业职业技术大学、广西桂小厨餐饮管理有限公司、南宁海关技术中心、广西壮族自治区农业科学院、南宁学院、南宁银河有限责任公司</w:t>
      </w:r>
      <w:r>
        <w:rPr>
          <w:rFonts w:hint="eastAsia" w:eastAsia="仿宋_GB2312"/>
          <w:color w:val="auto"/>
          <w:sz w:val="32"/>
          <w:szCs w:val="32"/>
        </w:rPr>
        <w:t>等单位共同起草的团体标准《</w:t>
      </w:r>
      <w:r>
        <w:rPr>
          <w:rFonts w:hint="eastAsia" w:eastAsia="仿宋_GB2312"/>
          <w:color w:val="auto"/>
          <w:sz w:val="32"/>
          <w:szCs w:val="32"/>
          <w:lang w:eastAsia="zh-CN"/>
        </w:rPr>
        <w:t>南宁老友粉原料  竹笋种苗繁育技术规程</w:t>
      </w:r>
      <w:r>
        <w:rPr>
          <w:rFonts w:hint="eastAsia" w:eastAsia="仿宋_GB2312"/>
          <w:color w:val="auto"/>
          <w:sz w:val="32"/>
          <w:szCs w:val="32"/>
        </w:rPr>
        <w:t>》（项目编号：202</w:t>
      </w:r>
      <w:r>
        <w:rPr>
          <w:rFonts w:hint="eastAsia" w:eastAsia="仿宋_GB2312"/>
          <w:color w:val="auto"/>
          <w:sz w:val="32"/>
          <w:szCs w:val="32"/>
          <w:lang w:val="en-US" w:eastAsia="zh-CN"/>
        </w:rPr>
        <w:t>5</w:t>
      </w:r>
      <w:r>
        <w:rPr>
          <w:rFonts w:hint="eastAsia" w:eastAsia="仿宋_GB2312"/>
          <w:color w:val="auto"/>
          <w:sz w:val="32"/>
          <w:szCs w:val="32"/>
        </w:rPr>
        <w:t>-</w:t>
      </w:r>
      <w:r>
        <w:rPr>
          <w:rFonts w:hint="eastAsia" w:eastAsia="仿宋_GB2312"/>
          <w:color w:val="auto"/>
          <w:sz w:val="32"/>
          <w:szCs w:val="32"/>
          <w:lang w:val="en-US" w:eastAsia="zh-CN"/>
        </w:rPr>
        <w:t>4208</w:t>
      </w:r>
      <w:r>
        <w:rPr>
          <w:rFonts w:hint="eastAsia" w:eastAsia="仿宋_GB2312"/>
          <w:color w:val="auto"/>
          <w:sz w:val="32"/>
          <w:szCs w:val="32"/>
        </w:rPr>
        <w:t>）已获立项。</w:t>
      </w:r>
    </w:p>
    <w:p w14:paraId="64E0E65A">
      <w:pPr>
        <w:pStyle w:val="15"/>
        <w:ind w:firstLine="640" w:firstLineChars="200"/>
        <w:rPr>
          <w:rFonts w:eastAsia="仿宋_GB2312" w:cs="Times New Roman"/>
          <w:color w:val="auto"/>
        </w:rPr>
      </w:pPr>
      <w:r>
        <w:rPr>
          <w:rFonts w:eastAsia="仿宋_GB2312" w:cs="Times New Roman"/>
          <w:color w:val="auto"/>
        </w:rPr>
        <w:t>为高质量编制团体标准《</w:t>
      </w:r>
      <w:r>
        <w:rPr>
          <w:rFonts w:hint="eastAsia" w:eastAsia="仿宋_GB2312" w:cs="Times New Roman"/>
          <w:color w:val="auto"/>
          <w:lang w:eastAsia="zh-CN"/>
        </w:rPr>
        <w:t>南宁老友粉原料  竹笋种苗繁育技术规程</w:t>
      </w:r>
      <w:r>
        <w:rPr>
          <w:rFonts w:eastAsia="仿宋_GB2312" w:cs="Times New Roman"/>
          <w:color w:val="auto"/>
        </w:rPr>
        <w:t>》，由起草单位成立标准编制工作组并进行如下分工：</w:t>
      </w:r>
    </w:p>
    <w:tbl>
      <w:tblPr>
        <w:tblStyle w:val="10"/>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107"/>
        <w:gridCol w:w="1424"/>
        <w:gridCol w:w="1995"/>
        <w:gridCol w:w="2688"/>
        <w:gridCol w:w="1634"/>
      </w:tblGrid>
      <w:tr w14:paraId="2EC65D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22F1F193">
            <w:pPr>
              <w:keepNext w:val="0"/>
              <w:keepLines w:val="0"/>
              <w:suppressLineNumbers w:val="0"/>
              <w:spacing w:before="0" w:beforeAutospacing="0" w:after="0" w:afterAutospacing="0"/>
              <w:ind w:left="0" w:right="0"/>
              <w:jc w:val="center"/>
              <w:rPr>
                <w:rFonts w:hint="default" w:ascii="仿宋_GB2312" w:eastAsia="仿宋_GB2312"/>
                <w:b/>
                <w:color w:val="auto"/>
                <w:sz w:val="24"/>
              </w:rPr>
            </w:pPr>
            <w:r>
              <w:rPr>
                <w:rFonts w:hint="eastAsia" w:ascii="仿宋_GB2312" w:eastAsia="仿宋_GB2312"/>
                <w:b/>
                <w:color w:val="auto"/>
                <w:sz w:val="24"/>
              </w:rPr>
              <w:t>姓名</w:t>
            </w:r>
          </w:p>
        </w:tc>
        <w:tc>
          <w:tcPr>
            <w:tcW w:w="804" w:type="pct"/>
            <w:tcBorders>
              <w:top w:val="single" w:color="auto" w:sz="8" w:space="0"/>
              <w:bottom w:val="single" w:color="auto" w:sz="8" w:space="0"/>
            </w:tcBorders>
            <w:vAlign w:val="center"/>
          </w:tcPr>
          <w:p w14:paraId="36CD56F1">
            <w:pPr>
              <w:keepNext w:val="0"/>
              <w:keepLines w:val="0"/>
              <w:suppressLineNumbers w:val="0"/>
              <w:spacing w:before="0" w:beforeAutospacing="0" w:after="0" w:afterAutospacing="0"/>
              <w:ind w:left="0" w:right="0"/>
              <w:jc w:val="center"/>
              <w:rPr>
                <w:rFonts w:hint="default" w:ascii="仿宋_GB2312" w:eastAsia="仿宋_GB2312"/>
                <w:b/>
                <w:color w:val="auto"/>
                <w:sz w:val="24"/>
              </w:rPr>
            </w:pPr>
            <w:r>
              <w:rPr>
                <w:rFonts w:hint="eastAsia" w:ascii="仿宋_GB2312" w:eastAsia="仿宋_GB2312"/>
                <w:b/>
                <w:color w:val="auto"/>
                <w:sz w:val="24"/>
              </w:rPr>
              <w:t>职务/职称</w:t>
            </w:r>
          </w:p>
        </w:tc>
        <w:tc>
          <w:tcPr>
            <w:tcW w:w="1127" w:type="pct"/>
            <w:tcBorders>
              <w:top w:val="single" w:color="auto" w:sz="8" w:space="0"/>
              <w:bottom w:val="single" w:color="auto" w:sz="8" w:space="0"/>
            </w:tcBorders>
            <w:vAlign w:val="center"/>
          </w:tcPr>
          <w:p w14:paraId="7E8D1A6A">
            <w:pPr>
              <w:keepNext w:val="0"/>
              <w:keepLines w:val="0"/>
              <w:suppressLineNumbers w:val="0"/>
              <w:spacing w:before="0" w:beforeAutospacing="0" w:after="0" w:afterAutospacing="0"/>
              <w:ind w:left="0" w:right="0"/>
              <w:jc w:val="center"/>
              <w:rPr>
                <w:rFonts w:hint="default" w:ascii="仿宋_GB2312" w:eastAsia="仿宋_GB2312"/>
                <w:b/>
                <w:color w:val="auto"/>
                <w:sz w:val="24"/>
              </w:rPr>
            </w:pPr>
            <w:r>
              <w:rPr>
                <w:rFonts w:hint="eastAsia" w:ascii="仿宋_GB2312" w:eastAsia="仿宋_GB2312"/>
                <w:b/>
                <w:color w:val="auto"/>
                <w:sz w:val="24"/>
              </w:rPr>
              <w:t>从事专业</w:t>
            </w:r>
          </w:p>
        </w:tc>
        <w:tc>
          <w:tcPr>
            <w:tcW w:w="1518" w:type="pct"/>
            <w:tcBorders>
              <w:top w:val="single" w:color="auto" w:sz="8" w:space="0"/>
              <w:bottom w:val="single" w:color="auto" w:sz="8" w:space="0"/>
            </w:tcBorders>
            <w:vAlign w:val="center"/>
          </w:tcPr>
          <w:p w14:paraId="063B3D90">
            <w:pPr>
              <w:keepNext w:val="0"/>
              <w:keepLines w:val="0"/>
              <w:suppressLineNumbers w:val="0"/>
              <w:spacing w:before="0" w:beforeAutospacing="0" w:after="0" w:afterAutospacing="0"/>
              <w:ind w:left="0" w:right="0"/>
              <w:jc w:val="center"/>
              <w:rPr>
                <w:rFonts w:hint="default" w:ascii="仿宋_GB2312" w:eastAsia="仿宋_GB2312"/>
                <w:b/>
                <w:color w:val="auto"/>
                <w:sz w:val="24"/>
              </w:rPr>
            </w:pPr>
            <w:r>
              <w:rPr>
                <w:rFonts w:hint="eastAsia" w:ascii="仿宋_GB2312" w:eastAsia="仿宋_GB2312"/>
                <w:b/>
                <w:color w:val="auto"/>
                <w:sz w:val="24"/>
              </w:rPr>
              <w:t>工作单位</w:t>
            </w:r>
          </w:p>
        </w:tc>
        <w:tc>
          <w:tcPr>
            <w:tcW w:w="923" w:type="pct"/>
            <w:tcBorders>
              <w:top w:val="single" w:color="auto" w:sz="8" w:space="0"/>
              <w:bottom w:val="single" w:color="auto" w:sz="8" w:space="0"/>
            </w:tcBorders>
            <w:vAlign w:val="center"/>
          </w:tcPr>
          <w:p w14:paraId="29B563E7">
            <w:pPr>
              <w:keepNext w:val="0"/>
              <w:keepLines w:val="0"/>
              <w:suppressLineNumbers w:val="0"/>
              <w:spacing w:before="0" w:beforeAutospacing="0" w:after="0" w:afterAutospacing="0"/>
              <w:ind w:left="0" w:right="0"/>
              <w:jc w:val="center"/>
              <w:rPr>
                <w:rFonts w:hint="default" w:ascii="仿宋_GB2312" w:eastAsia="仿宋_GB2312"/>
                <w:b/>
                <w:color w:val="auto"/>
                <w:sz w:val="24"/>
              </w:rPr>
            </w:pPr>
            <w:r>
              <w:rPr>
                <w:rFonts w:hint="eastAsia" w:ascii="仿宋_GB2312" w:eastAsia="仿宋_GB2312"/>
                <w:b/>
                <w:color w:val="auto"/>
                <w:sz w:val="24"/>
              </w:rPr>
              <w:t>责任分工</w:t>
            </w:r>
          </w:p>
        </w:tc>
      </w:tr>
      <w:tr w14:paraId="66BB4A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3" w:hRule="atLeast"/>
        </w:trPr>
        <w:tc>
          <w:tcPr>
            <w:tcW w:w="625" w:type="pct"/>
            <w:tcBorders>
              <w:top w:val="single" w:color="auto" w:sz="8" w:space="0"/>
              <w:bottom w:val="single" w:color="auto" w:sz="8" w:space="0"/>
            </w:tcBorders>
            <w:shd w:val="clear" w:color="auto" w:fill="auto"/>
            <w:vAlign w:val="center"/>
          </w:tcPr>
          <w:p w14:paraId="3A6E084F">
            <w:pPr>
              <w:keepNext w:val="0"/>
              <w:keepLines w:val="0"/>
              <w:suppressLineNumbers w:val="0"/>
              <w:spacing w:before="0" w:beforeAutospacing="0" w:after="0" w:afterAutospacing="0"/>
              <w:ind w:left="0" w:leftChars="0" w:right="0" w:rightChars="0"/>
              <w:jc w:val="center"/>
              <w:rPr>
                <w:rFonts w:hint="eastAsia" w:ascii="Calibri" w:hAnsi="Calibri" w:eastAsia="宋体" w:cs="Times New Roman"/>
                <w:color w:val="auto"/>
                <w:kern w:val="2"/>
                <w:sz w:val="21"/>
                <w:szCs w:val="21"/>
                <w:lang w:val="en-US" w:eastAsia="zh-CN" w:bidi="ar"/>
              </w:rPr>
            </w:pPr>
            <w:r>
              <w:rPr>
                <w:rFonts w:hint="eastAsia"/>
                <w:color w:val="auto"/>
                <w:sz w:val="21"/>
                <w:szCs w:val="21"/>
              </w:rPr>
              <w:t>吴远媚</w:t>
            </w:r>
          </w:p>
        </w:tc>
        <w:tc>
          <w:tcPr>
            <w:tcW w:w="804" w:type="pct"/>
            <w:tcBorders>
              <w:top w:val="single" w:color="auto" w:sz="8" w:space="0"/>
              <w:bottom w:val="single" w:color="auto" w:sz="8" w:space="0"/>
            </w:tcBorders>
            <w:shd w:val="clear" w:color="auto" w:fill="auto"/>
            <w:vAlign w:val="center"/>
          </w:tcPr>
          <w:p w14:paraId="7D8C09B6">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宋体" w:hAnsi="宋体"/>
                <w:color w:val="auto"/>
                <w:sz w:val="21"/>
                <w:szCs w:val="21"/>
              </w:rPr>
              <w:t>副所长/高级工程师</w:t>
            </w:r>
          </w:p>
        </w:tc>
        <w:tc>
          <w:tcPr>
            <w:tcW w:w="1127" w:type="pct"/>
            <w:tcBorders>
              <w:top w:val="single" w:color="auto" w:sz="8" w:space="0"/>
              <w:bottom w:val="single" w:color="auto" w:sz="8" w:space="0"/>
            </w:tcBorders>
            <w:shd w:val="clear" w:color="auto" w:fill="auto"/>
            <w:vAlign w:val="center"/>
          </w:tcPr>
          <w:p w14:paraId="72568B1C">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森林培育</w:t>
            </w:r>
          </w:p>
        </w:tc>
        <w:tc>
          <w:tcPr>
            <w:tcW w:w="1518" w:type="pct"/>
            <w:tcBorders>
              <w:top w:val="single" w:color="auto" w:sz="8" w:space="0"/>
              <w:bottom w:val="single" w:color="auto" w:sz="8" w:space="0"/>
            </w:tcBorders>
            <w:shd w:val="clear" w:color="auto" w:fill="auto"/>
            <w:vAlign w:val="center"/>
          </w:tcPr>
          <w:p w14:paraId="636149F7">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shd w:val="clear" w:color="auto" w:fill="auto"/>
            <w:vAlign w:val="center"/>
          </w:tcPr>
          <w:p w14:paraId="1452D0F0">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指导项目设计、立项申报、参与撰写等</w:t>
            </w:r>
          </w:p>
        </w:tc>
      </w:tr>
      <w:tr w14:paraId="777818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3" w:hRule="atLeast"/>
        </w:trPr>
        <w:tc>
          <w:tcPr>
            <w:tcW w:w="625" w:type="pct"/>
            <w:tcBorders>
              <w:top w:val="single" w:color="auto" w:sz="8" w:space="0"/>
              <w:bottom w:val="single" w:color="auto" w:sz="8" w:space="0"/>
            </w:tcBorders>
            <w:shd w:val="clear" w:color="auto" w:fill="auto"/>
            <w:vAlign w:val="center"/>
          </w:tcPr>
          <w:p w14:paraId="5B9AEBC1">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黄大勇</w:t>
            </w:r>
          </w:p>
        </w:tc>
        <w:tc>
          <w:tcPr>
            <w:tcW w:w="804" w:type="pct"/>
            <w:tcBorders>
              <w:top w:val="single" w:color="auto" w:sz="8" w:space="0"/>
              <w:bottom w:val="single" w:color="auto" w:sz="8" w:space="0"/>
            </w:tcBorders>
            <w:shd w:val="clear" w:color="auto" w:fill="auto"/>
            <w:vAlign w:val="center"/>
          </w:tcPr>
          <w:p w14:paraId="39F617E7">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宋体" w:hAnsi="宋体"/>
                <w:color w:val="auto"/>
                <w:sz w:val="21"/>
                <w:szCs w:val="21"/>
              </w:rPr>
              <w:t>正高级工程师</w:t>
            </w:r>
          </w:p>
        </w:tc>
        <w:tc>
          <w:tcPr>
            <w:tcW w:w="1127" w:type="pct"/>
            <w:tcBorders>
              <w:top w:val="single" w:color="auto" w:sz="8" w:space="0"/>
              <w:bottom w:val="single" w:color="auto" w:sz="8" w:space="0"/>
            </w:tcBorders>
            <w:shd w:val="clear" w:color="auto" w:fill="auto"/>
            <w:vAlign w:val="center"/>
          </w:tcPr>
          <w:p w14:paraId="1CB96F40">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竹类研究</w:t>
            </w:r>
          </w:p>
        </w:tc>
        <w:tc>
          <w:tcPr>
            <w:tcW w:w="1518" w:type="pct"/>
            <w:tcBorders>
              <w:top w:val="single" w:color="auto" w:sz="8" w:space="0"/>
              <w:bottom w:val="single" w:color="auto" w:sz="8" w:space="0"/>
            </w:tcBorders>
            <w:shd w:val="clear" w:color="auto" w:fill="auto"/>
            <w:vAlign w:val="center"/>
          </w:tcPr>
          <w:p w14:paraId="0E91E670">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广西壮族自治区林业科学研究院</w:t>
            </w:r>
          </w:p>
        </w:tc>
        <w:tc>
          <w:tcPr>
            <w:tcW w:w="923" w:type="pct"/>
            <w:tcBorders>
              <w:top w:val="single" w:color="auto" w:sz="8" w:space="0"/>
              <w:bottom w:val="single" w:color="auto" w:sz="8" w:space="0"/>
            </w:tcBorders>
            <w:shd w:val="clear" w:color="auto" w:fill="auto"/>
            <w:vAlign w:val="center"/>
          </w:tcPr>
          <w:p w14:paraId="422493AD">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指导项目设计、立项申报、组织撰写、验收、发布等。</w:t>
            </w:r>
          </w:p>
        </w:tc>
      </w:tr>
      <w:tr w14:paraId="0CD476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3" w:hRule="atLeast"/>
        </w:trPr>
        <w:tc>
          <w:tcPr>
            <w:tcW w:w="625" w:type="pct"/>
            <w:tcBorders>
              <w:top w:val="single" w:color="auto" w:sz="8" w:space="0"/>
              <w:bottom w:val="single" w:color="auto" w:sz="8" w:space="0"/>
            </w:tcBorders>
            <w:shd w:val="clear" w:color="auto" w:fill="auto"/>
            <w:vAlign w:val="center"/>
          </w:tcPr>
          <w:p w14:paraId="414A303C">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唐国强</w:t>
            </w:r>
          </w:p>
        </w:tc>
        <w:tc>
          <w:tcPr>
            <w:tcW w:w="804" w:type="pct"/>
            <w:tcBorders>
              <w:top w:val="single" w:color="auto" w:sz="8" w:space="0"/>
              <w:bottom w:val="single" w:color="auto" w:sz="8" w:space="0"/>
            </w:tcBorders>
            <w:shd w:val="clear" w:color="auto" w:fill="auto"/>
            <w:vAlign w:val="center"/>
          </w:tcPr>
          <w:p w14:paraId="514303AE">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宋体" w:hAnsi="宋体"/>
                <w:color w:val="auto"/>
                <w:sz w:val="21"/>
                <w:szCs w:val="21"/>
              </w:rPr>
              <w:t>副所长/高级工程师</w:t>
            </w:r>
          </w:p>
        </w:tc>
        <w:tc>
          <w:tcPr>
            <w:tcW w:w="1127" w:type="pct"/>
            <w:tcBorders>
              <w:top w:val="single" w:color="auto" w:sz="8" w:space="0"/>
              <w:bottom w:val="single" w:color="auto" w:sz="8" w:space="0"/>
            </w:tcBorders>
            <w:shd w:val="clear" w:color="auto" w:fill="auto"/>
            <w:vAlign w:val="center"/>
          </w:tcPr>
          <w:p w14:paraId="5C647658">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林木育种</w:t>
            </w:r>
          </w:p>
        </w:tc>
        <w:tc>
          <w:tcPr>
            <w:tcW w:w="1518" w:type="pct"/>
            <w:tcBorders>
              <w:top w:val="single" w:color="auto" w:sz="8" w:space="0"/>
              <w:bottom w:val="single" w:color="auto" w:sz="8" w:space="0"/>
            </w:tcBorders>
            <w:shd w:val="clear" w:color="auto" w:fill="auto"/>
            <w:vAlign w:val="center"/>
          </w:tcPr>
          <w:p w14:paraId="21026FCF">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shd w:val="clear" w:color="auto" w:fill="auto"/>
            <w:vAlign w:val="center"/>
          </w:tcPr>
          <w:p w14:paraId="7AD0458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项目统筹、试验数据处理</w:t>
            </w:r>
          </w:p>
        </w:tc>
      </w:tr>
      <w:tr w14:paraId="504E9B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3" w:hRule="atLeast"/>
        </w:trPr>
        <w:tc>
          <w:tcPr>
            <w:tcW w:w="625" w:type="pct"/>
            <w:tcBorders>
              <w:top w:val="single" w:color="auto" w:sz="8" w:space="0"/>
              <w:bottom w:val="single" w:color="auto" w:sz="8" w:space="0"/>
            </w:tcBorders>
            <w:vAlign w:val="center"/>
          </w:tcPr>
          <w:p w14:paraId="075401A8">
            <w:pPr>
              <w:keepNext w:val="0"/>
              <w:keepLines w:val="0"/>
              <w:suppressLineNumbers w:val="0"/>
              <w:spacing w:before="0" w:beforeAutospacing="0" w:after="0" w:afterAutospacing="0"/>
              <w:ind w:left="0" w:leftChars="0" w:right="0" w:rightChars="0"/>
              <w:jc w:val="center"/>
              <w:rPr>
                <w:rFonts w:hint="default"/>
                <w:color w:val="auto"/>
                <w:sz w:val="21"/>
                <w:szCs w:val="21"/>
                <w:lang w:val="en-US"/>
              </w:rPr>
            </w:pPr>
            <w:r>
              <w:rPr>
                <w:rFonts w:hint="eastAsia"/>
                <w:color w:val="auto"/>
                <w:sz w:val="21"/>
                <w:szCs w:val="21"/>
              </w:rPr>
              <w:t>唐启乐</w:t>
            </w:r>
          </w:p>
        </w:tc>
        <w:tc>
          <w:tcPr>
            <w:tcW w:w="804" w:type="pct"/>
            <w:tcBorders>
              <w:top w:val="single" w:color="auto" w:sz="8" w:space="0"/>
              <w:bottom w:val="single" w:color="auto" w:sz="8" w:space="0"/>
            </w:tcBorders>
            <w:vAlign w:val="center"/>
          </w:tcPr>
          <w:p w14:paraId="462A3A59">
            <w:pPr>
              <w:keepNext w:val="0"/>
              <w:keepLines w:val="0"/>
              <w:suppressLineNumbers w:val="0"/>
              <w:spacing w:before="0" w:beforeAutospacing="0" w:after="0" w:afterAutospacing="0"/>
              <w:ind w:left="0" w:leftChars="0" w:right="0" w:rightChars="0"/>
              <w:jc w:val="center"/>
              <w:rPr>
                <w:rFonts w:hint="eastAsia" w:ascii="宋体" w:hAnsi="宋体" w:eastAsiaTheme="minorEastAsia"/>
                <w:color w:val="auto"/>
                <w:sz w:val="21"/>
                <w:szCs w:val="21"/>
                <w:lang w:val="en-US" w:eastAsia="zh-CN"/>
              </w:rPr>
            </w:pPr>
            <w:r>
              <w:rPr>
                <w:rFonts w:hint="eastAsia" w:ascii="宋体" w:hAnsi="宋体"/>
                <w:color w:val="auto"/>
                <w:sz w:val="21"/>
                <w:szCs w:val="21"/>
              </w:rPr>
              <w:t>所长/高级工程师</w:t>
            </w:r>
          </w:p>
        </w:tc>
        <w:tc>
          <w:tcPr>
            <w:tcW w:w="1127" w:type="pct"/>
            <w:tcBorders>
              <w:top w:val="single" w:color="auto" w:sz="8" w:space="0"/>
              <w:bottom w:val="single" w:color="auto" w:sz="8" w:space="0"/>
            </w:tcBorders>
            <w:vAlign w:val="center"/>
          </w:tcPr>
          <w:p w14:paraId="759D72D6">
            <w:pPr>
              <w:keepNext w:val="0"/>
              <w:keepLines w:val="0"/>
              <w:suppressLineNumbers w:val="0"/>
              <w:spacing w:before="0" w:beforeAutospacing="0" w:after="0" w:afterAutospacing="0"/>
              <w:ind w:left="0" w:leftChars="0" w:right="0" w:rightChars="0"/>
              <w:jc w:val="center"/>
              <w:rPr>
                <w:rFonts w:hint="eastAsia" w:ascii="宋体" w:hAnsi="宋体" w:eastAsiaTheme="minorEastAsia"/>
                <w:color w:val="auto"/>
                <w:sz w:val="21"/>
                <w:szCs w:val="21"/>
                <w:lang w:val="en-US" w:eastAsia="zh-CN"/>
              </w:rPr>
            </w:pPr>
            <w:r>
              <w:rPr>
                <w:rFonts w:hint="eastAsia" w:ascii="宋体" w:hAnsi="宋体"/>
                <w:color w:val="auto"/>
                <w:sz w:val="21"/>
                <w:szCs w:val="21"/>
              </w:rPr>
              <w:t>行政管理</w:t>
            </w:r>
          </w:p>
        </w:tc>
        <w:tc>
          <w:tcPr>
            <w:tcW w:w="1518" w:type="pct"/>
            <w:tcBorders>
              <w:top w:val="single" w:color="auto" w:sz="8" w:space="0"/>
              <w:bottom w:val="single" w:color="auto" w:sz="8" w:space="0"/>
            </w:tcBorders>
            <w:vAlign w:val="center"/>
          </w:tcPr>
          <w:p w14:paraId="4D9EDED1">
            <w:pPr>
              <w:keepNext w:val="0"/>
              <w:keepLines w:val="0"/>
              <w:suppressLineNumbers w:val="0"/>
              <w:spacing w:before="0" w:beforeAutospacing="0" w:after="0" w:afterAutospacing="0"/>
              <w:ind w:left="0" w:leftChars="0" w:right="0" w:rightChars="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4940740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项目统筹</w:t>
            </w:r>
          </w:p>
        </w:tc>
      </w:tr>
      <w:tr w14:paraId="1B1034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0E20BE3D">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颜燕</w:t>
            </w:r>
          </w:p>
        </w:tc>
        <w:tc>
          <w:tcPr>
            <w:tcW w:w="804" w:type="pct"/>
            <w:tcBorders>
              <w:top w:val="single" w:color="auto" w:sz="8" w:space="0"/>
              <w:bottom w:val="single" w:color="auto" w:sz="8" w:space="0"/>
            </w:tcBorders>
            <w:shd w:val="clear" w:color="auto" w:fill="auto"/>
            <w:vAlign w:val="center"/>
          </w:tcPr>
          <w:p w14:paraId="192EF58A">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宋体" w:hAnsi="宋体"/>
                <w:color w:val="auto"/>
                <w:sz w:val="21"/>
                <w:szCs w:val="21"/>
              </w:rPr>
              <w:t>技术员</w:t>
            </w:r>
          </w:p>
        </w:tc>
        <w:tc>
          <w:tcPr>
            <w:tcW w:w="1127" w:type="pct"/>
            <w:tcBorders>
              <w:top w:val="single" w:color="auto" w:sz="8" w:space="0"/>
              <w:bottom w:val="single" w:color="auto" w:sz="8" w:space="0"/>
            </w:tcBorders>
            <w:shd w:val="clear" w:color="auto" w:fill="auto"/>
            <w:vAlign w:val="center"/>
          </w:tcPr>
          <w:p w14:paraId="398E7EA2">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森林培育</w:t>
            </w:r>
          </w:p>
        </w:tc>
        <w:tc>
          <w:tcPr>
            <w:tcW w:w="1518" w:type="pct"/>
            <w:tcBorders>
              <w:top w:val="single" w:color="auto" w:sz="8" w:space="0"/>
              <w:bottom w:val="single" w:color="auto" w:sz="8" w:space="0"/>
            </w:tcBorders>
            <w:shd w:val="clear" w:color="auto" w:fill="auto"/>
            <w:vAlign w:val="center"/>
          </w:tcPr>
          <w:p w14:paraId="2A9CDBFA">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shd w:val="clear" w:color="auto" w:fill="auto"/>
            <w:vAlign w:val="center"/>
          </w:tcPr>
          <w:p w14:paraId="5EAFD877">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数据资料收集、标准起草、撰写。</w:t>
            </w:r>
          </w:p>
        </w:tc>
      </w:tr>
      <w:tr w14:paraId="034407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5BDB7E6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李立杰</w:t>
            </w:r>
          </w:p>
        </w:tc>
        <w:tc>
          <w:tcPr>
            <w:tcW w:w="804" w:type="pct"/>
            <w:tcBorders>
              <w:top w:val="single" w:color="auto" w:sz="8" w:space="0"/>
              <w:bottom w:val="single" w:color="auto" w:sz="8" w:space="0"/>
            </w:tcBorders>
            <w:shd w:val="clear" w:color="auto" w:fill="auto"/>
            <w:vAlign w:val="center"/>
          </w:tcPr>
          <w:p w14:paraId="6F1DFC88">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宋体" w:hAnsi="宋体"/>
                <w:color w:val="auto"/>
                <w:sz w:val="21"/>
                <w:szCs w:val="21"/>
              </w:rPr>
              <w:t>高级工程师</w:t>
            </w:r>
          </w:p>
        </w:tc>
        <w:tc>
          <w:tcPr>
            <w:tcW w:w="1127" w:type="pct"/>
            <w:tcBorders>
              <w:top w:val="single" w:color="auto" w:sz="8" w:space="0"/>
              <w:bottom w:val="single" w:color="auto" w:sz="8" w:space="0"/>
            </w:tcBorders>
            <w:shd w:val="clear" w:color="auto" w:fill="auto"/>
            <w:vAlign w:val="center"/>
          </w:tcPr>
          <w:p w14:paraId="6A032083">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竹类研究</w:t>
            </w:r>
          </w:p>
        </w:tc>
        <w:tc>
          <w:tcPr>
            <w:tcW w:w="1518" w:type="pct"/>
            <w:tcBorders>
              <w:top w:val="single" w:color="auto" w:sz="8" w:space="0"/>
              <w:bottom w:val="single" w:color="auto" w:sz="8" w:space="0"/>
            </w:tcBorders>
            <w:shd w:val="clear" w:color="auto" w:fill="auto"/>
            <w:vAlign w:val="center"/>
          </w:tcPr>
          <w:p w14:paraId="5A8565F5">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广西壮族自治区林业科学研究院</w:t>
            </w:r>
          </w:p>
        </w:tc>
        <w:tc>
          <w:tcPr>
            <w:tcW w:w="923" w:type="pct"/>
            <w:tcBorders>
              <w:top w:val="single" w:color="auto" w:sz="8" w:space="0"/>
              <w:bottom w:val="single" w:color="auto" w:sz="8" w:space="0"/>
            </w:tcBorders>
            <w:shd w:val="clear" w:color="auto" w:fill="auto"/>
            <w:vAlign w:val="center"/>
          </w:tcPr>
          <w:p w14:paraId="372F29DC">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指导项目设计、立项申报、参与撰写等。</w:t>
            </w:r>
          </w:p>
        </w:tc>
      </w:tr>
      <w:tr w14:paraId="7DEA79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4AFBEABB">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蒙兰杨</w:t>
            </w:r>
          </w:p>
        </w:tc>
        <w:tc>
          <w:tcPr>
            <w:tcW w:w="804" w:type="pct"/>
            <w:tcBorders>
              <w:top w:val="single" w:color="auto" w:sz="8" w:space="0"/>
              <w:bottom w:val="single" w:color="auto" w:sz="8" w:space="0"/>
            </w:tcBorders>
            <w:shd w:val="clear" w:color="auto" w:fill="auto"/>
            <w:vAlign w:val="center"/>
          </w:tcPr>
          <w:p w14:paraId="3971EB57">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 w:bidi="ar-SA"/>
              </w:rPr>
            </w:pPr>
            <w:r>
              <w:rPr>
                <w:rFonts w:hint="eastAsia" w:ascii="宋体" w:hAnsi="宋体"/>
                <w:color w:val="auto"/>
                <w:sz w:val="21"/>
                <w:szCs w:val="21"/>
              </w:rPr>
              <w:t>工程师</w:t>
            </w:r>
          </w:p>
        </w:tc>
        <w:tc>
          <w:tcPr>
            <w:tcW w:w="1127" w:type="pct"/>
            <w:tcBorders>
              <w:top w:val="single" w:color="auto" w:sz="8" w:space="0"/>
              <w:bottom w:val="single" w:color="auto" w:sz="8" w:space="0"/>
            </w:tcBorders>
            <w:shd w:val="clear" w:color="auto" w:fill="auto"/>
            <w:vAlign w:val="center"/>
          </w:tcPr>
          <w:p w14:paraId="105A76E3">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森林培育</w:t>
            </w:r>
          </w:p>
        </w:tc>
        <w:tc>
          <w:tcPr>
            <w:tcW w:w="1518" w:type="pct"/>
            <w:tcBorders>
              <w:top w:val="single" w:color="auto" w:sz="8" w:space="0"/>
              <w:bottom w:val="single" w:color="auto" w:sz="8" w:space="0"/>
            </w:tcBorders>
            <w:shd w:val="clear" w:color="auto" w:fill="auto"/>
            <w:vAlign w:val="center"/>
          </w:tcPr>
          <w:p w14:paraId="420E15A5">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shd w:val="clear" w:color="auto" w:fill="auto"/>
            <w:vAlign w:val="center"/>
          </w:tcPr>
          <w:p w14:paraId="42392399">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指导项目设计、立项申报、参与撰写等。</w:t>
            </w:r>
          </w:p>
        </w:tc>
      </w:tr>
      <w:tr w14:paraId="491C55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57545C66">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莫悦</w:t>
            </w:r>
          </w:p>
        </w:tc>
        <w:tc>
          <w:tcPr>
            <w:tcW w:w="804" w:type="pct"/>
            <w:tcBorders>
              <w:top w:val="single" w:color="auto" w:sz="8" w:space="0"/>
              <w:bottom w:val="single" w:color="auto" w:sz="8" w:space="0"/>
            </w:tcBorders>
            <w:shd w:val="clear" w:color="auto" w:fill="auto"/>
            <w:vAlign w:val="center"/>
          </w:tcPr>
          <w:p w14:paraId="30DA188C">
            <w:pPr>
              <w:keepNext w:val="0"/>
              <w:keepLines w:val="0"/>
              <w:suppressLineNumbers w:val="0"/>
              <w:spacing w:before="0" w:beforeAutospacing="0" w:after="0" w:afterAutospacing="0"/>
              <w:ind w:left="0" w:leftChars="0" w:right="0" w:rightChars="0"/>
              <w:jc w:val="center"/>
              <w:rPr>
                <w:rFonts w:hint="eastAsia" w:ascii="Times New Roman" w:hAnsi="Times New Roman" w:eastAsiaTheme="minorEastAsia" w:cstheme="minorBidi"/>
                <w:color w:val="auto"/>
                <w:kern w:val="2"/>
                <w:sz w:val="21"/>
                <w:szCs w:val="21"/>
                <w:lang w:val="en-US" w:eastAsia="zh-CN" w:bidi="ar-SA"/>
              </w:rPr>
            </w:pPr>
            <w:r>
              <w:rPr>
                <w:rFonts w:hint="eastAsia"/>
                <w:color w:val="auto"/>
                <w:sz w:val="21"/>
                <w:szCs w:val="21"/>
                <w:lang w:eastAsia="zh"/>
              </w:rPr>
              <w:t>助理工程师</w:t>
            </w:r>
          </w:p>
        </w:tc>
        <w:tc>
          <w:tcPr>
            <w:tcW w:w="1127" w:type="pct"/>
            <w:tcBorders>
              <w:top w:val="single" w:color="auto" w:sz="8" w:space="0"/>
              <w:bottom w:val="single" w:color="auto" w:sz="8" w:space="0"/>
            </w:tcBorders>
            <w:shd w:val="clear" w:color="auto" w:fill="auto"/>
            <w:vAlign w:val="center"/>
          </w:tcPr>
          <w:p w14:paraId="126B2E6E">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rPr>
              <w:t>林产化工</w:t>
            </w:r>
          </w:p>
        </w:tc>
        <w:tc>
          <w:tcPr>
            <w:tcW w:w="1518" w:type="pct"/>
            <w:tcBorders>
              <w:top w:val="single" w:color="auto" w:sz="8" w:space="0"/>
              <w:bottom w:val="single" w:color="auto" w:sz="8" w:space="0"/>
            </w:tcBorders>
            <w:shd w:val="clear" w:color="auto" w:fill="auto"/>
            <w:vAlign w:val="center"/>
          </w:tcPr>
          <w:p w14:paraId="06A8B2FE">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shd w:val="clear" w:color="auto" w:fill="auto"/>
            <w:vAlign w:val="center"/>
          </w:tcPr>
          <w:p w14:paraId="5BACF2C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标准实施宣贯、培训</w:t>
            </w:r>
          </w:p>
        </w:tc>
      </w:tr>
      <w:tr w14:paraId="2DF9B3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38508E9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农英敏</w:t>
            </w:r>
          </w:p>
        </w:tc>
        <w:tc>
          <w:tcPr>
            <w:tcW w:w="804" w:type="pct"/>
            <w:tcBorders>
              <w:top w:val="single" w:color="auto" w:sz="8" w:space="0"/>
              <w:bottom w:val="single" w:color="auto" w:sz="8" w:space="0"/>
            </w:tcBorders>
            <w:shd w:val="clear" w:color="auto" w:fill="auto"/>
            <w:vAlign w:val="center"/>
          </w:tcPr>
          <w:p w14:paraId="7821B2CF">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助理工程师</w:t>
            </w:r>
          </w:p>
        </w:tc>
        <w:tc>
          <w:tcPr>
            <w:tcW w:w="1127" w:type="pct"/>
            <w:tcBorders>
              <w:top w:val="single" w:color="auto" w:sz="8" w:space="0"/>
              <w:bottom w:val="single" w:color="auto" w:sz="8" w:space="0"/>
            </w:tcBorders>
            <w:shd w:val="clear" w:color="auto" w:fill="auto"/>
            <w:vAlign w:val="center"/>
          </w:tcPr>
          <w:p w14:paraId="1B721827">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植物保护</w:t>
            </w:r>
          </w:p>
        </w:tc>
        <w:tc>
          <w:tcPr>
            <w:tcW w:w="1518" w:type="pct"/>
            <w:tcBorders>
              <w:top w:val="single" w:color="auto" w:sz="8" w:space="0"/>
              <w:bottom w:val="single" w:color="auto" w:sz="8" w:space="0"/>
            </w:tcBorders>
            <w:shd w:val="clear" w:color="auto" w:fill="auto"/>
            <w:vAlign w:val="center"/>
          </w:tcPr>
          <w:p w14:paraId="24D47B90">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shd w:val="clear" w:color="auto" w:fill="auto"/>
            <w:vAlign w:val="center"/>
          </w:tcPr>
          <w:p w14:paraId="454CF1C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文献数据资料收集</w:t>
            </w:r>
          </w:p>
        </w:tc>
      </w:tr>
      <w:tr w14:paraId="2401D4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57BA380F">
            <w:pPr>
              <w:keepNext w:val="0"/>
              <w:keepLines w:val="0"/>
              <w:suppressLineNumbers w:val="0"/>
              <w:spacing w:before="0" w:beforeAutospacing="0" w:after="0" w:afterAutospacing="0"/>
              <w:ind w:left="0" w:leftChars="0" w:right="0" w:rightChars="0"/>
              <w:jc w:val="center"/>
              <w:rPr>
                <w:rFonts w:hint="default" w:ascii="仿宋_GB2312" w:hAnsi="仿宋_GB2312" w:eastAsia="仿宋_GB2312" w:cs="仿宋_GB2312"/>
                <w:color w:val="auto"/>
                <w:kern w:val="2"/>
                <w:sz w:val="21"/>
                <w:szCs w:val="21"/>
                <w:lang w:val="en-US" w:eastAsia="zh-CN" w:bidi="ar-SA"/>
              </w:rPr>
            </w:pPr>
            <w:r>
              <w:rPr>
                <w:rFonts w:hint="eastAsia"/>
                <w:color w:val="auto"/>
                <w:sz w:val="21"/>
                <w:szCs w:val="21"/>
              </w:rPr>
              <w:t>邓莉明</w:t>
            </w:r>
          </w:p>
        </w:tc>
        <w:tc>
          <w:tcPr>
            <w:tcW w:w="804" w:type="pct"/>
            <w:tcBorders>
              <w:top w:val="single" w:color="auto" w:sz="8" w:space="0"/>
              <w:bottom w:val="single" w:color="auto" w:sz="8" w:space="0"/>
            </w:tcBorders>
            <w:shd w:val="clear" w:color="auto" w:fill="auto"/>
            <w:vAlign w:val="center"/>
          </w:tcPr>
          <w:p w14:paraId="1E058E70">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工程师</w:t>
            </w:r>
          </w:p>
        </w:tc>
        <w:tc>
          <w:tcPr>
            <w:tcW w:w="1127" w:type="pct"/>
            <w:tcBorders>
              <w:top w:val="single" w:color="auto" w:sz="8" w:space="0"/>
              <w:bottom w:val="single" w:color="auto" w:sz="8" w:space="0"/>
            </w:tcBorders>
            <w:shd w:val="clear" w:color="auto" w:fill="auto"/>
            <w:vAlign w:val="center"/>
          </w:tcPr>
          <w:p w14:paraId="5636233F">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森林培育</w:t>
            </w:r>
          </w:p>
        </w:tc>
        <w:tc>
          <w:tcPr>
            <w:tcW w:w="1518" w:type="pct"/>
            <w:tcBorders>
              <w:top w:val="single" w:color="auto" w:sz="8" w:space="0"/>
              <w:bottom w:val="single" w:color="auto" w:sz="8" w:space="0"/>
            </w:tcBorders>
            <w:shd w:val="clear" w:color="auto" w:fill="auto"/>
            <w:vAlign w:val="center"/>
          </w:tcPr>
          <w:p w14:paraId="75F30971">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shd w:val="clear" w:color="auto" w:fill="auto"/>
            <w:vAlign w:val="center"/>
          </w:tcPr>
          <w:p w14:paraId="07BE20ED">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标准实施宣贯、培训</w:t>
            </w:r>
          </w:p>
        </w:tc>
      </w:tr>
      <w:tr w14:paraId="194DBD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166A65C2">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徐铁纯</w:t>
            </w:r>
          </w:p>
        </w:tc>
        <w:tc>
          <w:tcPr>
            <w:tcW w:w="804" w:type="pct"/>
            <w:tcBorders>
              <w:top w:val="single" w:color="auto" w:sz="8" w:space="0"/>
              <w:bottom w:val="single" w:color="auto" w:sz="8" w:space="0"/>
            </w:tcBorders>
            <w:shd w:val="clear" w:color="auto" w:fill="auto"/>
            <w:vAlign w:val="center"/>
          </w:tcPr>
          <w:p w14:paraId="0ACE8677">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宋体" w:hAnsi="宋体"/>
                <w:color w:val="auto"/>
                <w:sz w:val="21"/>
                <w:szCs w:val="21"/>
              </w:rPr>
              <w:t>秘书长</w:t>
            </w:r>
          </w:p>
        </w:tc>
        <w:tc>
          <w:tcPr>
            <w:tcW w:w="1127" w:type="pct"/>
            <w:tcBorders>
              <w:top w:val="single" w:color="auto" w:sz="8" w:space="0"/>
              <w:bottom w:val="single" w:color="auto" w:sz="8" w:space="0"/>
            </w:tcBorders>
            <w:shd w:val="clear" w:color="auto" w:fill="auto"/>
            <w:vAlign w:val="center"/>
          </w:tcPr>
          <w:p w14:paraId="3009458B">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园艺技术</w:t>
            </w:r>
          </w:p>
        </w:tc>
        <w:tc>
          <w:tcPr>
            <w:tcW w:w="1518" w:type="pct"/>
            <w:tcBorders>
              <w:top w:val="single" w:color="auto" w:sz="8" w:space="0"/>
              <w:bottom w:val="single" w:color="auto" w:sz="8" w:space="0"/>
            </w:tcBorders>
            <w:shd w:val="clear" w:color="auto" w:fill="auto"/>
            <w:vAlign w:val="center"/>
          </w:tcPr>
          <w:p w14:paraId="6EBDB5D1">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 xml:space="preserve">南宁市老友粉协会 </w:t>
            </w:r>
          </w:p>
        </w:tc>
        <w:tc>
          <w:tcPr>
            <w:tcW w:w="923" w:type="pct"/>
            <w:tcBorders>
              <w:top w:val="single" w:color="auto" w:sz="8" w:space="0"/>
              <w:bottom w:val="single" w:color="auto" w:sz="8" w:space="0"/>
            </w:tcBorders>
            <w:shd w:val="clear" w:color="auto" w:fill="auto"/>
            <w:vAlign w:val="center"/>
          </w:tcPr>
          <w:p w14:paraId="7EF50856">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数据资料收集、标准起草、撰写。</w:t>
            </w:r>
          </w:p>
        </w:tc>
      </w:tr>
      <w:tr w14:paraId="491BAC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56663E79">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黄宇</w:t>
            </w:r>
          </w:p>
        </w:tc>
        <w:tc>
          <w:tcPr>
            <w:tcW w:w="804" w:type="pct"/>
            <w:tcBorders>
              <w:top w:val="single" w:color="auto" w:sz="8" w:space="0"/>
              <w:bottom w:val="single" w:color="auto" w:sz="8" w:space="0"/>
            </w:tcBorders>
            <w:shd w:val="clear" w:color="auto" w:fill="auto"/>
            <w:vAlign w:val="center"/>
          </w:tcPr>
          <w:p w14:paraId="2B778FC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color w:val="auto"/>
                <w:sz w:val="21"/>
                <w:szCs w:val="21"/>
              </w:rPr>
              <w:t>董事长</w:t>
            </w:r>
          </w:p>
        </w:tc>
        <w:tc>
          <w:tcPr>
            <w:tcW w:w="1127" w:type="pct"/>
            <w:tcBorders>
              <w:top w:val="single" w:color="auto" w:sz="8" w:space="0"/>
              <w:bottom w:val="single" w:color="auto" w:sz="8" w:space="0"/>
            </w:tcBorders>
            <w:shd w:val="clear" w:color="auto" w:fill="auto"/>
            <w:vAlign w:val="center"/>
          </w:tcPr>
          <w:p w14:paraId="24D4C899">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eastAsia="宋体" w:cs="Times New Roman"/>
                <w:color w:val="auto"/>
                <w:sz w:val="21"/>
                <w:szCs w:val="21"/>
              </w:rPr>
              <w:t>治安管理</w:t>
            </w:r>
          </w:p>
        </w:tc>
        <w:tc>
          <w:tcPr>
            <w:tcW w:w="1518" w:type="pct"/>
            <w:tcBorders>
              <w:top w:val="single" w:color="auto" w:sz="8" w:space="0"/>
              <w:bottom w:val="single" w:color="auto" w:sz="8" w:space="0"/>
            </w:tcBorders>
            <w:shd w:val="clear" w:color="auto" w:fill="auto"/>
            <w:vAlign w:val="center"/>
          </w:tcPr>
          <w:p w14:paraId="12206B9A">
            <w:pPr>
              <w:keepNext w:val="0"/>
              <w:keepLines w:val="0"/>
              <w:suppressLineNumbers w:val="0"/>
              <w:spacing w:before="0" w:beforeAutospacing="0" w:after="0" w:afterAutospacing="0"/>
              <w:ind w:left="0" w:leftChars="0" w:right="0" w:rightChars="0"/>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rPr>
              <w:t>广西复记食品科技有限公司</w:t>
            </w:r>
          </w:p>
        </w:tc>
        <w:tc>
          <w:tcPr>
            <w:tcW w:w="923" w:type="pct"/>
            <w:tcBorders>
              <w:top w:val="single" w:color="auto" w:sz="8" w:space="0"/>
              <w:bottom w:val="single" w:color="auto" w:sz="8" w:space="0"/>
            </w:tcBorders>
            <w:shd w:val="clear" w:color="auto" w:fill="auto"/>
            <w:vAlign w:val="center"/>
          </w:tcPr>
          <w:p w14:paraId="00CCBA82">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数据资料收集、标准起草、撰写。</w:t>
            </w:r>
          </w:p>
        </w:tc>
      </w:tr>
      <w:tr w14:paraId="02EC87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shd w:val="clear" w:color="auto" w:fill="auto"/>
            <w:vAlign w:val="center"/>
          </w:tcPr>
          <w:p w14:paraId="78D9EC1C">
            <w:pPr>
              <w:keepNext w:val="0"/>
              <w:keepLines w:val="0"/>
              <w:suppressLineNumbers w:val="0"/>
              <w:spacing w:before="0" w:beforeAutospacing="0" w:after="0" w:afterAutospacing="0"/>
              <w:ind w:left="0" w:leftChars="0" w:right="0" w:rightChars="0"/>
              <w:jc w:val="center"/>
              <w:rPr>
                <w:rFonts w:hint="eastAsia" w:eastAsiaTheme="minorEastAsia"/>
                <w:color w:val="auto"/>
                <w:sz w:val="21"/>
                <w:szCs w:val="21"/>
                <w:lang w:val="en-US" w:eastAsia="zh-CN"/>
              </w:rPr>
            </w:pPr>
            <w:r>
              <w:rPr>
                <w:rFonts w:hint="eastAsia"/>
                <w:color w:val="auto"/>
                <w:sz w:val="21"/>
                <w:szCs w:val="21"/>
                <w:lang w:val="en-US" w:eastAsia="zh-CN"/>
              </w:rPr>
              <w:t>谢宏昭</w:t>
            </w:r>
          </w:p>
        </w:tc>
        <w:tc>
          <w:tcPr>
            <w:tcW w:w="804" w:type="pct"/>
            <w:tcBorders>
              <w:top w:val="single" w:color="auto" w:sz="8" w:space="0"/>
              <w:bottom w:val="single" w:color="auto" w:sz="8" w:space="0"/>
            </w:tcBorders>
            <w:shd w:val="clear" w:color="auto" w:fill="auto"/>
            <w:vAlign w:val="center"/>
          </w:tcPr>
          <w:p w14:paraId="41F5F3B1">
            <w:pPr>
              <w:keepNext w:val="0"/>
              <w:keepLines w:val="0"/>
              <w:suppressLineNumbers w:val="0"/>
              <w:spacing w:before="0" w:beforeAutospacing="0" w:after="0" w:afterAutospacing="0"/>
              <w:ind w:left="0" w:leftChars="0" w:right="0" w:rightChars="0"/>
              <w:jc w:val="center"/>
              <w:rPr>
                <w:rFonts w:hint="default" w:eastAsiaTheme="minorEastAsia"/>
                <w:color w:val="auto"/>
                <w:sz w:val="21"/>
                <w:szCs w:val="21"/>
                <w:lang w:val="en-US" w:eastAsia="zh-CN"/>
              </w:rPr>
            </w:pPr>
            <w:r>
              <w:rPr>
                <w:rFonts w:hint="eastAsia"/>
                <w:color w:val="auto"/>
                <w:sz w:val="21"/>
                <w:szCs w:val="21"/>
                <w:lang w:val="en-US" w:eastAsia="zh-CN"/>
              </w:rPr>
              <w:t>会长/正高级工程师</w:t>
            </w:r>
          </w:p>
        </w:tc>
        <w:tc>
          <w:tcPr>
            <w:tcW w:w="1127" w:type="pct"/>
            <w:tcBorders>
              <w:top w:val="single" w:color="auto" w:sz="8" w:space="0"/>
              <w:bottom w:val="single" w:color="auto" w:sz="8" w:space="0"/>
            </w:tcBorders>
            <w:shd w:val="clear" w:color="auto" w:fill="auto"/>
            <w:vAlign w:val="center"/>
          </w:tcPr>
          <w:p w14:paraId="51128A33">
            <w:pPr>
              <w:keepNext w:val="0"/>
              <w:keepLines w:val="0"/>
              <w:suppressLineNumbers w:val="0"/>
              <w:spacing w:before="0" w:beforeAutospacing="0" w:after="0" w:afterAutospacing="0"/>
              <w:ind w:left="0" w:leftChars="0" w:right="0" w:rightChars="0"/>
              <w:jc w:val="center"/>
              <w:rPr>
                <w:rFonts w:hint="eastAsia" w:eastAsia="宋体" w:cs="Times New Roman"/>
                <w:color w:val="auto"/>
                <w:sz w:val="21"/>
                <w:szCs w:val="21"/>
                <w:lang w:val="en-US" w:eastAsia="zh-CN"/>
              </w:rPr>
            </w:pPr>
            <w:r>
              <w:rPr>
                <w:rFonts w:hint="eastAsia" w:eastAsia="宋体" w:cs="Times New Roman"/>
                <w:color w:val="auto"/>
                <w:sz w:val="21"/>
                <w:szCs w:val="21"/>
                <w:lang w:val="en-US" w:eastAsia="zh-CN"/>
              </w:rPr>
              <w:t>标准</w:t>
            </w:r>
          </w:p>
        </w:tc>
        <w:tc>
          <w:tcPr>
            <w:tcW w:w="1518" w:type="pct"/>
            <w:tcBorders>
              <w:top w:val="single" w:color="auto" w:sz="8" w:space="0"/>
              <w:bottom w:val="single" w:color="auto" w:sz="8" w:space="0"/>
            </w:tcBorders>
            <w:shd w:val="clear" w:color="auto" w:fill="auto"/>
            <w:vAlign w:val="center"/>
          </w:tcPr>
          <w:p w14:paraId="03AD333E">
            <w:pPr>
              <w:keepNext w:val="0"/>
              <w:keepLines w:val="0"/>
              <w:suppressLineNumbers w:val="0"/>
              <w:spacing w:before="0" w:beforeAutospacing="0" w:after="0" w:afterAutospacing="0"/>
              <w:ind w:left="0" w:leftChars="0" w:right="0" w:rightChars="0"/>
              <w:jc w:val="center"/>
              <w:rPr>
                <w:rFonts w:hint="default" w:ascii="宋体" w:hAnsi="宋体" w:eastAsiaTheme="minorEastAsia"/>
                <w:color w:val="auto"/>
                <w:sz w:val="21"/>
                <w:szCs w:val="21"/>
                <w:lang w:val="en-US" w:eastAsia="zh-CN"/>
              </w:rPr>
            </w:pPr>
            <w:r>
              <w:rPr>
                <w:rFonts w:hint="eastAsia" w:ascii="宋体" w:hAnsi="宋体"/>
                <w:color w:val="auto"/>
                <w:sz w:val="21"/>
                <w:szCs w:val="21"/>
                <w:lang w:val="en-US" w:eastAsia="zh-CN"/>
              </w:rPr>
              <w:t>广西标准化协会</w:t>
            </w:r>
          </w:p>
        </w:tc>
        <w:tc>
          <w:tcPr>
            <w:tcW w:w="923" w:type="pct"/>
            <w:tcBorders>
              <w:top w:val="single" w:color="auto" w:sz="8" w:space="0"/>
              <w:bottom w:val="single" w:color="auto" w:sz="8" w:space="0"/>
            </w:tcBorders>
            <w:shd w:val="clear" w:color="auto" w:fill="auto"/>
            <w:vAlign w:val="center"/>
          </w:tcPr>
          <w:p w14:paraId="397AFF2F">
            <w:pPr>
              <w:keepNext w:val="0"/>
              <w:keepLines w:val="0"/>
              <w:suppressLineNumbers w:val="0"/>
              <w:spacing w:before="0" w:beforeAutospacing="0" w:after="0" w:afterAutospacing="0"/>
              <w:ind w:left="0" w:leftChars="0" w:right="0" w:rightChars="0"/>
              <w:jc w:val="center"/>
              <w:rPr>
                <w:rFonts w:hint="default" w:ascii="仿宋_GB2312" w:hAnsi="仿宋_GB2312" w:eastAsia="仿宋_GB2312" w:cs="仿宋_GB2312"/>
                <w:color w:val="auto"/>
                <w:sz w:val="21"/>
                <w:szCs w:val="21"/>
                <w:lang w:val="en-US" w:eastAsia="zh-CN"/>
              </w:rPr>
            </w:pPr>
            <w:r>
              <w:rPr>
                <w:rFonts w:hint="eastAsia" w:ascii="仿宋_GB2312" w:hAnsi="仿宋_GB2312" w:eastAsia="仿宋_GB2312" w:cs="仿宋_GB2312"/>
                <w:color w:val="auto"/>
                <w:sz w:val="21"/>
                <w:szCs w:val="21"/>
              </w:rPr>
              <w:t>标准起草、撰写</w:t>
            </w:r>
            <w:r>
              <w:rPr>
                <w:rFonts w:hint="eastAsia" w:ascii="仿宋_GB2312" w:hAnsi="仿宋_GB2312" w:eastAsia="仿宋_GB2312" w:cs="仿宋_GB2312"/>
                <w:color w:val="auto"/>
                <w:sz w:val="21"/>
                <w:szCs w:val="21"/>
                <w:lang w:eastAsia="zh-CN"/>
              </w:rPr>
              <w:t>、</w:t>
            </w:r>
            <w:r>
              <w:rPr>
                <w:rFonts w:hint="eastAsia" w:ascii="仿宋_GB2312" w:hAnsi="仿宋_GB2312" w:eastAsia="仿宋_GB2312" w:cs="仿宋_GB2312"/>
                <w:color w:val="auto"/>
                <w:sz w:val="21"/>
                <w:szCs w:val="21"/>
                <w:lang w:val="en-US" w:eastAsia="zh-CN"/>
              </w:rPr>
              <w:t>宣贯</w:t>
            </w:r>
          </w:p>
        </w:tc>
      </w:tr>
      <w:tr w14:paraId="1E9EE7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45ABCE5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梁君霞</w:t>
            </w:r>
          </w:p>
        </w:tc>
        <w:tc>
          <w:tcPr>
            <w:tcW w:w="804" w:type="pct"/>
            <w:tcBorders>
              <w:top w:val="single" w:color="auto" w:sz="8" w:space="0"/>
              <w:bottom w:val="single" w:color="auto" w:sz="8" w:space="0"/>
            </w:tcBorders>
            <w:vAlign w:val="center"/>
          </w:tcPr>
          <w:p w14:paraId="6B18DD8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工程师</w:t>
            </w:r>
          </w:p>
        </w:tc>
        <w:tc>
          <w:tcPr>
            <w:tcW w:w="1127" w:type="pct"/>
            <w:tcBorders>
              <w:top w:val="single" w:color="auto" w:sz="8" w:space="0"/>
              <w:bottom w:val="single" w:color="auto" w:sz="8" w:space="0"/>
            </w:tcBorders>
            <w:vAlign w:val="center"/>
          </w:tcPr>
          <w:p w14:paraId="33F6E3FA">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森林培育</w:t>
            </w:r>
          </w:p>
        </w:tc>
        <w:tc>
          <w:tcPr>
            <w:tcW w:w="1518" w:type="pct"/>
            <w:tcBorders>
              <w:top w:val="single" w:color="auto" w:sz="8" w:space="0"/>
              <w:bottom w:val="single" w:color="auto" w:sz="8" w:space="0"/>
            </w:tcBorders>
            <w:vAlign w:val="center"/>
          </w:tcPr>
          <w:p w14:paraId="2194AB30">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5F78213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数据资料收集、标准起草、撰写。</w:t>
            </w:r>
          </w:p>
        </w:tc>
      </w:tr>
      <w:tr w14:paraId="4FD269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59223C4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覃星耀</w:t>
            </w:r>
          </w:p>
        </w:tc>
        <w:tc>
          <w:tcPr>
            <w:tcW w:w="804" w:type="pct"/>
            <w:tcBorders>
              <w:top w:val="single" w:color="auto" w:sz="8" w:space="0"/>
              <w:bottom w:val="single" w:color="auto" w:sz="8" w:space="0"/>
            </w:tcBorders>
            <w:vAlign w:val="center"/>
          </w:tcPr>
          <w:p w14:paraId="116F4F5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技术员</w:t>
            </w:r>
          </w:p>
        </w:tc>
        <w:tc>
          <w:tcPr>
            <w:tcW w:w="1127" w:type="pct"/>
            <w:tcBorders>
              <w:top w:val="single" w:color="auto" w:sz="8" w:space="0"/>
              <w:bottom w:val="single" w:color="auto" w:sz="8" w:space="0"/>
            </w:tcBorders>
            <w:vAlign w:val="center"/>
          </w:tcPr>
          <w:p w14:paraId="764313B1">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园艺</w:t>
            </w:r>
          </w:p>
        </w:tc>
        <w:tc>
          <w:tcPr>
            <w:tcW w:w="1518" w:type="pct"/>
            <w:tcBorders>
              <w:top w:val="single" w:color="auto" w:sz="8" w:space="0"/>
              <w:bottom w:val="single" w:color="auto" w:sz="8" w:space="0"/>
            </w:tcBorders>
            <w:vAlign w:val="center"/>
          </w:tcPr>
          <w:p w14:paraId="065766C3">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广西穗良甜竹科技有限公司</w:t>
            </w:r>
          </w:p>
        </w:tc>
        <w:tc>
          <w:tcPr>
            <w:tcW w:w="923" w:type="pct"/>
            <w:tcBorders>
              <w:top w:val="single" w:color="auto" w:sz="8" w:space="0"/>
              <w:bottom w:val="single" w:color="auto" w:sz="8" w:space="0"/>
            </w:tcBorders>
            <w:vAlign w:val="center"/>
          </w:tcPr>
          <w:p w14:paraId="620E0B3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数据资料收集</w:t>
            </w:r>
          </w:p>
        </w:tc>
      </w:tr>
      <w:tr w14:paraId="1AAB5D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56345EC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林跃华</w:t>
            </w:r>
          </w:p>
        </w:tc>
        <w:tc>
          <w:tcPr>
            <w:tcW w:w="804" w:type="pct"/>
            <w:tcBorders>
              <w:top w:val="single" w:color="auto" w:sz="8" w:space="0"/>
              <w:bottom w:val="single" w:color="auto" w:sz="8" w:space="0"/>
            </w:tcBorders>
            <w:vAlign w:val="center"/>
          </w:tcPr>
          <w:p w14:paraId="3224350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总经理</w:t>
            </w:r>
          </w:p>
        </w:tc>
        <w:tc>
          <w:tcPr>
            <w:tcW w:w="1127" w:type="pct"/>
            <w:tcBorders>
              <w:top w:val="single" w:color="auto" w:sz="8" w:space="0"/>
              <w:bottom w:val="single" w:color="auto" w:sz="8" w:space="0"/>
            </w:tcBorders>
            <w:vAlign w:val="center"/>
          </w:tcPr>
          <w:p w14:paraId="32126339">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食品加工研发</w:t>
            </w:r>
          </w:p>
        </w:tc>
        <w:tc>
          <w:tcPr>
            <w:tcW w:w="1518" w:type="pct"/>
            <w:tcBorders>
              <w:top w:val="single" w:color="auto" w:sz="8" w:space="0"/>
              <w:bottom w:val="single" w:color="auto" w:sz="8" w:space="0"/>
            </w:tcBorders>
            <w:vAlign w:val="center"/>
          </w:tcPr>
          <w:p w14:paraId="06753EDA">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广西南宁市韩太食品有限责任公司</w:t>
            </w:r>
          </w:p>
        </w:tc>
        <w:tc>
          <w:tcPr>
            <w:tcW w:w="923" w:type="pct"/>
            <w:tcBorders>
              <w:top w:val="single" w:color="auto" w:sz="8" w:space="0"/>
              <w:bottom w:val="single" w:color="auto" w:sz="8" w:space="0"/>
            </w:tcBorders>
            <w:vAlign w:val="center"/>
          </w:tcPr>
          <w:p w14:paraId="5AF8ED1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标准起草、撰写。</w:t>
            </w:r>
          </w:p>
        </w:tc>
      </w:tr>
      <w:tr w14:paraId="57CD6A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3B3567A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陈金威</w:t>
            </w:r>
          </w:p>
        </w:tc>
        <w:tc>
          <w:tcPr>
            <w:tcW w:w="804" w:type="pct"/>
            <w:tcBorders>
              <w:top w:val="single" w:color="auto" w:sz="8" w:space="0"/>
              <w:bottom w:val="single" w:color="auto" w:sz="8" w:space="0"/>
            </w:tcBorders>
            <w:vAlign w:val="center"/>
          </w:tcPr>
          <w:p w14:paraId="0AD729A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宋体" w:hAnsi="宋体"/>
                <w:color w:val="auto"/>
                <w:sz w:val="21"/>
                <w:szCs w:val="21"/>
              </w:rPr>
              <w:t>董事长</w:t>
            </w:r>
          </w:p>
        </w:tc>
        <w:tc>
          <w:tcPr>
            <w:tcW w:w="1127" w:type="pct"/>
            <w:tcBorders>
              <w:top w:val="single" w:color="auto" w:sz="8" w:space="0"/>
              <w:bottom w:val="single" w:color="auto" w:sz="8" w:space="0"/>
            </w:tcBorders>
            <w:vAlign w:val="center"/>
          </w:tcPr>
          <w:p w14:paraId="7B666C72">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企业管理</w:t>
            </w:r>
          </w:p>
        </w:tc>
        <w:tc>
          <w:tcPr>
            <w:tcW w:w="1518" w:type="pct"/>
            <w:tcBorders>
              <w:top w:val="single" w:color="auto" w:sz="8" w:space="0"/>
              <w:bottom w:val="single" w:color="auto" w:sz="8" w:space="0"/>
            </w:tcBorders>
            <w:vAlign w:val="center"/>
          </w:tcPr>
          <w:p w14:paraId="235B3DC3">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横州市威和食品有限公司</w:t>
            </w:r>
          </w:p>
        </w:tc>
        <w:tc>
          <w:tcPr>
            <w:tcW w:w="923" w:type="pct"/>
            <w:tcBorders>
              <w:top w:val="single" w:color="auto" w:sz="8" w:space="0"/>
              <w:bottom w:val="single" w:color="auto" w:sz="8" w:space="0"/>
            </w:tcBorders>
            <w:vAlign w:val="center"/>
          </w:tcPr>
          <w:p w14:paraId="7E5D2E7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标准起草、撰写。</w:t>
            </w:r>
          </w:p>
        </w:tc>
      </w:tr>
      <w:tr w14:paraId="2E9F08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7E8111E1">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农劲柏</w:t>
            </w:r>
          </w:p>
        </w:tc>
        <w:tc>
          <w:tcPr>
            <w:tcW w:w="804" w:type="pct"/>
            <w:tcBorders>
              <w:top w:val="single" w:color="auto" w:sz="8" w:space="0"/>
              <w:bottom w:val="single" w:color="auto" w:sz="8" w:space="0"/>
            </w:tcBorders>
            <w:vAlign w:val="center"/>
          </w:tcPr>
          <w:p w14:paraId="3897F20E">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工程师</w:t>
            </w:r>
          </w:p>
        </w:tc>
        <w:tc>
          <w:tcPr>
            <w:tcW w:w="1127" w:type="pct"/>
            <w:tcBorders>
              <w:top w:val="single" w:color="auto" w:sz="8" w:space="0"/>
              <w:bottom w:val="single" w:color="auto" w:sz="8" w:space="0"/>
            </w:tcBorders>
            <w:vAlign w:val="center"/>
          </w:tcPr>
          <w:p w14:paraId="382DCCBE">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计算机科学与技术</w:t>
            </w:r>
          </w:p>
        </w:tc>
        <w:tc>
          <w:tcPr>
            <w:tcW w:w="1518" w:type="pct"/>
            <w:tcBorders>
              <w:top w:val="single" w:color="auto" w:sz="8" w:space="0"/>
              <w:bottom w:val="single" w:color="auto" w:sz="8" w:space="0"/>
            </w:tcBorders>
            <w:vAlign w:val="center"/>
          </w:tcPr>
          <w:p w14:paraId="50145DB4">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南宁市老友粉协会/广西桂物投资咨询有限公司</w:t>
            </w:r>
          </w:p>
        </w:tc>
        <w:tc>
          <w:tcPr>
            <w:tcW w:w="923" w:type="pct"/>
            <w:tcBorders>
              <w:top w:val="single" w:color="auto" w:sz="8" w:space="0"/>
              <w:bottom w:val="single" w:color="auto" w:sz="8" w:space="0"/>
            </w:tcBorders>
            <w:vAlign w:val="center"/>
          </w:tcPr>
          <w:p w14:paraId="385BA39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标准起草、撰写。</w:t>
            </w:r>
          </w:p>
        </w:tc>
      </w:tr>
      <w:tr w14:paraId="7CC81F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748CC5B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梁宁</w:t>
            </w:r>
          </w:p>
        </w:tc>
        <w:tc>
          <w:tcPr>
            <w:tcW w:w="804" w:type="pct"/>
            <w:tcBorders>
              <w:top w:val="single" w:color="auto" w:sz="8" w:space="0"/>
              <w:bottom w:val="single" w:color="auto" w:sz="8" w:space="0"/>
            </w:tcBorders>
            <w:vAlign w:val="center"/>
          </w:tcPr>
          <w:p w14:paraId="5789EC13">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color w:val="auto"/>
                <w:sz w:val="21"/>
                <w:szCs w:val="21"/>
              </w:rPr>
              <w:t>总经理</w:t>
            </w:r>
          </w:p>
        </w:tc>
        <w:tc>
          <w:tcPr>
            <w:tcW w:w="1127" w:type="pct"/>
            <w:tcBorders>
              <w:top w:val="single" w:color="auto" w:sz="8" w:space="0"/>
              <w:bottom w:val="single" w:color="auto" w:sz="8" w:space="0"/>
            </w:tcBorders>
            <w:vAlign w:val="center"/>
          </w:tcPr>
          <w:p w14:paraId="613272A3">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eastAsia="宋体" w:cs="Times New Roman"/>
                <w:color w:val="auto"/>
                <w:sz w:val="21"/>
                <w:szCs w:val="21"/>
              </w:rPr>
              <w:t>输电线路工程</w:t>
            </w:r>
          </w:p>
        </w:tc>
        <w:tc>
          <w:tcPr>
            <w:tcW w:w="1518" w:type="pct"/>
            <w:tcBorders>
              <w:top w:val="single" w:color="auto" w:sz="8" w:space="0"/>
              <w:bottom w:val="single" w:color="auto" w:sz="8" w:space="0"/>
            </w:tcBorders>
            <w:vAlign w:val="center"/>
          </w:tcPr>
          <w:p w14:paraId="6764B9F8">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广西复记食品科技有限公司</w:t>
            </w:r>
          </w:p>
        </w:tc>
        <w:tc>
          <w:tcPr>
            <w:tcW w:w="923" w:type="pct"/>
            <w:tcBorders>
              <w:top w:val="single" w:color="auto" w:sz="8" w:space="0"/>
              <w:bottom w:val="single" w:color="auto" w:sz="8" w:space="0"/>
            </w:tcBorders>
            <w:vAlign w:val="center"/>
          </w:tcPr>
          <w:p w14:paraId="1E3F485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文献数据资料收集</w:t>
            </w:r>
          </w:p>
        </w:tc>
      </w:tr>
      <w:tr w14:paraId="292544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6B1567F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舒应东</w:t>
            </w:r>
          </w:p>
        </w:tc>
        <w:tc>
          <w:tcPr>
            <w:tcW w:w="804" w:type="pct"/>
            <w:tcBorders>
              <w:top w:val="single" w:color="auto" w:sz="8" w:space="0"/>
              <w:bottom w:val="single" w:color="auto" w:sz="8" w:space="0"/>
            </w:tcBorders>
            <w:vAlign w:val="center"/>
          </w:tcPr>
          <w:p w14:paraId="2F435377">
            <w:pPr>
              <w:keepNext w:val="0"/>
              <w:keepLines w:val="0"/>
              <w:suppressLineNumbers w:val="0"/>
              <w:spacing w:before="0" w:beforeAutospacing="0" w:after="0" w:afterAutospacing="0"/>
              <w:ind w:left="0" w:right="0"/>
              <w:jc w:val="center"/>
              <w:rPr>
                <w:rFonts w:hint="default"/>
                <w:color w:val="auto"/>
                <w:sz w:val="21"/>
                <w:szCs w:val="21"/>
              </w:rPr>
            </w:pPr>
            <w:r>
              <w:rPr>
                <w:rFonts w:hint="eastAsia"/>
                <w:color w:val="auto"/>
                <w:sz w:val="21"/>
                <w:szCs w:val="21"/>
                <w:lang w:eastAsia="zh"/>
              </w:rPr>
              <w:t>科长</w:t>
            </w:r>
            <w:r>
              <w:rPr>
                <w:rFonts w:hint="eastAsia"/>
                <w:color w:val="auto"/>
                <w:sz w:val="21"/>
                <w:szCs w:val="21"/>
              </w:rPr>
              <w:t>/</w:t>
            </w:r>
            <w:r>
              <w:rPr>
                <w:rFonts w:hint="eastAsia" w:ascii="宋体" w:hAnsi="宋体"/>
                <w:color w:val="auto"/>
                <w:sz w:val="21"/>
                <w:szCs w:val="21"/>
              </w:rPr>
              <w:t>高级工程师</w:t>
            </w:r>
          </w:p>
        </w:tc>
        <w:tc>
          <w:tcPr>
            <w:tcW w:w="1127" w:type="pct"/>
            <w:tcBorders>
              <w:top w:val="single" w:color="auto" w:sz="8" w:space="0"/>
              <w:bottom w:val="single" w:color="auto" w:sz="8" w:space="0"/>
            </w:tcBorders>
            <w:vAlign w:val="center"/>
          </w:tcPr>
          <w:p w14:paraId="44E5CE21">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eastAsia="宋体" w:cs="Times New Roman"/>
                <w:color w:val="auto"/>
                <w:sz w:val="21"/>
                <w:szCs w:val="21"/>
              </w:rPr>
              <w:t>森林培育</w:t>
            </w:r>
          </w:p>
        </w:tc>
        <w:tc>
          <w:tcPr>
            <w:tcW w:w="1518" w:type="pct"/>
            <w:tcBorders>
              <w:top w:val="single" w:color="auto" w:sz="8" w:space="0"/>
              <w:bottom w:val="single" w:color="auto" w:sz="8" w:space="0"/>
            </w:tcBorders>
            <w:vAlign w:val="center"/>
          </w:tcPr>
          <w:p w14:paraId="3F218FEB">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059B129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r w14:paraId="32B5E1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15C0244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黄永利</w:t>
            </w:r>
          </w:p>
        </w:tc>
        <w:tc>
          <w:tcPr>
            <w:tcW w:w="804" w:type="pct"/>
            <w:tcBorders>
              <w:top w:val="single" w:color="auto" w:sz="8" w:space="0"/>
              <w:bottom w:val="single" w:color="auto" w:sz="8" w:space="0"/>
            </w:tcBorders>
            <w:vAlign w:val="center"/>
          </w:tcPr>
          <w:p w14:paraId="073CA797">
            <w:pPr>
              <w:keepNext w:val="0"/>
              <w:keepLines w:val="0"/>
              <w:suppressLineNumbers w:val="0"/>
              <w:spacing w:before="0" w:beforeAutospacing="0" w:after="0" w:afterAutospacing="0"/>
              <w:ind w:left="0" w:right="0"/>
              <w:jc w:val="center"/>
              <w:rPr>
                <w:rFonts w:hint="default"/>
                <w:color w:val="auto"/>
                <w:sz w:val="21"/>
                <w:szCs w:val="21"/>
              </w:rPr>
            </w:pPr>
            <w:r>
              <w:rPr>
                <w:rFonts w:hint="eastAsia"/>
                <w:color w:val="auto"/>
                <w:sz w:val="21"/>
                <w:szCs w:val="21"/>
                <w:lang w:eastAsia="zh"/>
              </w:rPr>
              <w:t>科长</w:t>
            </w:r>
            <w:r>
              <w:rPr>
                <w:rFonts w:hint="eastAsia"/>
                <w:color w:val="auto"/>
                <w:sz w:val="21"/>
                <w:szCs w:val="21"/>
              </w:rPr>
              <w:t>/正</w:t>
            </w:r>
            <w:r>
              <w:rPr>
                <w:rFonts w:hint="eastAsia" w:ascii="宋体" w:hAnsi="宋体"/>
                <w:color w:val="auto"/>
                <w:sz w:val="21"/>
                <w:szCs w:val="21"/>
              </w:rPr>
              <w:t>高级工程师</w:t>
            </w:r>
          </w:p>
        </w:tc>
        <w:tc>
          <w:tcPr>
            <w:tcW w:w="1127" w:type="pct"/>
            <w:tcBorders>
              <w:top w:val="single" w:color="auto" w:sz="8" w:space="0"/>
              <w:bottom w:val="single" w:color="auto" w:sz="8" w:space="0"/>
            </w:tcBorders>
            <w:vAlign w:val="center"/>
          </w:tcPr>
          <w:p w14:paraId="3CF5FFA2">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eastAsia="宋体" w:cs="Times New Roman"/>
                <w:color w:val="auto"/>
                <w:sz w:val="21"/>
                <w:szCs w:val="21"/>
              </w:rPr>
              <w:t>林木育种</w:t>
            </w:r>
          </w:p>
        </w:tc>
        <w:tc>
          <w:tcPr>
            <w:tcW w:w="1518" w:type="pct"/>
            <w:tcBorders>
              <w:top w:val="single" w:color="auto" w:sz="8" w:space="0"/>
              <w:bottom w:val="single" w:color="auto" w:sz="8" w:space="0"/>
            </w:tcBorders>
            <w:vAlign w:val="center"/>
          </w:tcPr>
          <w:p w14:paraId="445CB109">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33006F2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r w14:paraId="76ACAB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06885392">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唐武</w:t>
            </w:r>
          </w:p>
        </w:tc>
        <w:tc>
          <w:tcPr>
            <w:tcW w:w="804" w:type="pct"/>
            <w:tcBorders>
              <w:top w:val="single" w:color="auto" w:sz="8" w:space="0"/>
              <w:bottom w:val="single" w:color="auto" w:sz="8" w:space="0"/>
            </w:tcBorders>
            <w:vAlign w:val="center"/>
          </w:tcPr>
          <w:p w14:paraId="36FACE53">
            <w:pPr>
              <w:keepNext w:val="0"/>
              <w:keepLines w:val="0"/>
              <w:suppressLineNumbers w:val="0"/>
              <w:spacing w:before="0" w:beforeAutospacing="0" w:after="0" w:afterAutospacing="0"/>
              <w:ind w:left="0" w:right="0"/>
              <w:jc w:val="center"/>
              <w:rPr>
                <w:rFonts w:hint="default"/>
                <w:color w:val="auto"/>
                <w:sz w:val="21"/>
                <w:szCs w:val="21"/>
              </w:rPr>
            </w:pPr>
            <w:r>
              <w:rPr>
                <w:rFonts w:hint="eastAsia" w:ascii="宋体" w:hAnsi="宋体"/>
                <w:color w:val="auto"/>
                <w:sz w:val="21"/>
                <w:szCs w:val="21"/>
              </w:rPr>
              <w:t>工程师</w:t>
            </w:r>
          </w:p>
        </w:tc>
        <w:tc>
          <w:tcPr>
            <w:tcW w:w="1127" w:type="pct"/>
            <w:tcBorders>
              <w:top w:val="single" w:color="auto" w:sz="8" w:space="0"/>
              <w:bottom w:val="single" w:color="auto" w:sz="8" w:space="0"/>
            </w:tcBorders>
            <w:vAlign w:val="center"/>
          </w:tcPr>
          <w:p w14:paraId="4ECA082A">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eastAsia="宋体" w:cs="Times New Roman"/>
                <w:color w:val="auto"/>
                <w:sz w:val="21"/>
                <w:szCs w:val="21"/>
              </w:rPr>
              <w:t>森林培育</w:t>
            </w:r>
          </w:p>
        </w:tc>
        <w:tc>
          <w:tcPr>
            <w:tcW w:w="1518" w:type="pct"/>
            <w:tcBorders>
              <w:top w:val="single" w:color="auto" w:sz="8" w:space="0"/>
              <w:bottom w:val="single" w:color="auto" w:sz="8" w:space="0"/>
            </w:tcBorders>
            <w:vAlign w:val="center"/>
          </w:tcPr>
          <w:p w14:paraId="37A80E12">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南宁市林业科学研究所</w:t>
            </w:r>
          </w:p>
        </w:tc>
        <w:tc>
          <w:tcPr>
            <w:tcW w:w="923" w:type="pct"/>
            <w:tcBorders>
              <w:top w:val="single" w:color="auto" w:sz="8" w:space="0"/>
              <w:bottom w:val="single" w:color="auto" w:sz="8" w:space="0"/>
            </w:tcBorders>
            <w:vAlign w:val="center"/>
          </w:tcPr>
          <w:p w14:paraId="4530A81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r w14:paraId="67F4E5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315636F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廖均原</w:t>
            </w:r>
          </w:p>
        </w:tc>
        <w:tc>
          <w:tcPr>
            <w:tcW w:w="804" w:type="pct"/>
            <w:tcBorders>
              <w:top w:val="single" w:color="auto" w:sz="8" w:space="0"/>
              <w:bottom w:val="single" w:color="auto" w:sz="8" w:space="0"/>
            </w:tcBorders>
            <w:vAlign w:val="center"/>
          </w:tcPr>
          <w:p w14:paraId="5387AA53">
            <w:pPr>
              <w:keepNext w:val="0"/>
              <w:keepLines w:val="0"/>
              <w:suppressLineNumbers w:val="0"/>
              <w:spacing w:before="0" w:beforeAutospacing="0" w:after="0" w:afterAutospacing="0"/>
              <w:ind w:left="0" w:right="0"/>
              <w:jc w:val="center"/>
              <w:rPr>
                <w:rFonts w:hint="default"/>
                <w:color w:val="auto"/>
                <w:sz w:val="21"/>
                <w:szCs w:val="21"/>
              </w:rPr>
            </w:pPr>
            <w:r>
              <w:rPr>
                <w:rFonts w:hint="eastAsia"/>
                <w:color w:val="auto"/>
                <w:sz w:val="21"/>
                <w:szCs w:val="21"/>
                <w:lang w:eastAsia="zh"/>
              </w:rPr>
              <w:t>厂长</w:t>
            </w:r>
          </w:p>
        </w:tc>
        <w:tc>
          <w:tcPr>
            <w:tcW w:w="1127" w:type="pct"/>
            <w:tcBorders>
              <w:top w:val="single" w:color="auto" w:sz="8" w:space="0"/>
              <w:bottom w:val="single" w:color="auto" w:sz="8" w:space="0"/>
            </w:tcBorders>
            <w:vAlign w:val="center"/>
          </w:tcPr>
          <w:p w14:paraId="169E1104">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eastAsia="宋体" w:cs="Times New Roman"/>
                <w:color w:val="auto"/>
                <w:sz w:val="21"/>
                <w:szCs w:val="21"/>
              </w:rPr>
              <w:t>材料化学</w:t>
            </w:r>
          </w:p>
        </w:tc>
        <w:tc>
          <w:tcPr>
            <w:tcW w:w="1518" w:type="pct"/>
            <w:tcBorders>
              <w:top w:val="single" w:color="auto" w:sz="8" w:space="0"/>
              <w:bottom w:val="single" w:color="auto" w:sz="8" w:space="0"/>
            </w:tcBorders>
            <w:vAlign w:val="center"/>
          </w:tcPr>
          <w:p w14:paraId="48FF7848">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广西复记食品科技有限公司</w:t>
            </w:r>
          </w:p>
        </w:tc>
        <w:tc>
          <w:tcPr>
            <w:tcW w:w="923" w:type="pct"/>
            <w:tcBorders>
              <w:top w:val="single" w:color="auto" w:sz="8" w:space="0"/>
              <w:bottom w:val="single" w:color="auto" w:sz="8" w:space="0"/>
            </w:tcBorders>
            <w:vAlign w:val="center"/>
          </w:tcPr>
          <w:p w14:paraId="0BB633F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r w14:paraId="035983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3907A8C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color w:val="auto"/>
                <w:sz w:val="21"/>
                <w:szCs w:val="21"/>
              </w:rPr>
              <w:t>王力婉</w:t>
            </w:r>
          </w:p>
        </w:tc>
        <w:tc>
          <w:tcPr>
            <w:tcW w:w="804" w:type="pct"/>
            <w:tcBorders>
              <w:top w:val="single" w:color="auto" w:sz="8" w:space="0"/>
              <w:bottom w:val="single" w:color="auto" w:sz="8" w:space="0"/>
            </w:tcBorders>
            <w:vAlign w:val="center"/>
          </w:tcPr>
          <w:p w14:paraId="75E319E2">
            <w:pPr>
              <w:keepNext w:val="0"/>
              <w:keepLines w:val="0"/>
              <w:suppressLineNumbers w:val="0"/>
              <w:spacing w:before="0" w:beforeAutospacing="0" w:after="0" w:afterAutospacing="0"/>
              <w:ind w:left="0" w:right="0"/>
              <w:jc w:val="center"/>
              <w:rPr>
                <w:rFonts w:hint="default"/>
                <w:color w:val="auto"/>
                <w:sz w:val="21"/>
                <w:szCs w:val="21"/>
              </w:rPr>
            </w:pPr>
            <w:r>
              <w:rPr>
                <w:rFonts w:hint="eastAsia" w:ascii="宋体" w:hAnsi="宋体"/>
                <w:color w:val="auto"/>
                <w:sz w:val="21"/>
                <w:szCs w:val="21"/>
              </w:rPr>
              <w:t>工程师</w:t>
            </w:r>
          </w:p>
        </w:tc>
        <w:tc>
          <w:tcPr>
            <w:tcW w:w="1127" w:type="pct"/>
            <w:tcBorders>
              <w:top w:val="single" w:color="auto" w:sz="8" w:space="0"/>
              <w:bottom w:val="single" w:color="auto" w:sz="8" w:space="0"/>
            </w:tcBorders>
            <w:vAlign w:val="center"/>
          </w:tcPr>
          <w:p w14:paraId="2464DE67">
            <w:pPr>
              <w:keepNext w:val="0"/>
              <w:keepLines w:val="0"/>
              <w:suppressLineNumbers w:val="0"/>
              <w:spacing w:before="0" w:beforeAutospacing="0" w:after="0" w:afterAutospacing="0"/>
              <w:ind w:left="0" w:right="0"/>
              <w:jc w:val="center"/>
              <w:rPr>
                <w:rFonts w:hint="default" w:eastAsia="宋体" w:cs="Times New Roman"/>
                <w:color w:val="auto"/>
                <w:sz w:val="21"/>
                <w:szCs w:val="21"/>
              </w:rPr>
            </w:pPr>
            <w:r>
              <w:rPr>
                <w:rFonts w:hint="eastAsia" w:ascii="宋体" w:hAnsi="宋体"/>
                <w:color w:val="auto"/>
                <w:sz w:val="21"/>
                <w:szCs w:val="21"/>
              </w:rPr>
              <w:t>化学工程</w:t>
            </w:r>
          </w:p>
        </w:tc>
        <w:tc>
          <w:tcPr>
            <w:tcW w:w="1518" w:type="pct"/>
            <w:tcBorders>
              <w:top w:val="single" w:color="auto" w:sz="8" w:space="0"/>
              <w:bottom w:val="single" w:color="auto" w:sz="8" w:space="0"/>
            </w:tcBorders>
            <w:vAlign w:val="center"/>
          </w:tcPr>
          <w:p w14:paraId="4CB4CD17">
            <w:pPr>
              <w:keepNext w:val="0"/>
              <w:keepLines w:val="0"/>
              <w:suppressLineNumbers w:val="0"/>
              <w:spacing w:before="0" w:beforeAutospacing="0" w:after="0" w:afterAutospacing="0"/>
              <w:ind w:left="0" w:right="0"/>
              <w:jc w:val="center"/>
              <w:rPr>
                <w:rFonts w:hint="eastAsia" w:ascii="宋体" w:hAnsi="宋体"/>
                <w:color w:val="auto"/>
                <w:sz w:val="21"/>
                <w:szCs w:val="21"/>
              </w:rPr>
            </w:pPr>
            <w:r>
              <w:rPr>
                <w:rFonts w:hint="eastAsia" w:ascii="宋体" w:hAnsi="宋体"/>
                <w:color w:val="auto"/>
                <w:sz w:val="21"/>
                <w:szCs w:val="21"/>
              </w:rPr>
              <w:t>南宁市老友粉协会/广西桂物投资咨询有限公司</w:t>
            </w:r>
          </w:p>
        </w:tc>
        <w:tc>
          <w:tcPr>
            <w:tcW w:w="923" w:type="pct"/>
            <w:tcBorders>
              <w:top w:val="single" w:color="auto" w:sz="8" w:space="0"/>
              <w:bottom w:val="single" w:color="auto" w:sz="8" w:space="0"/>
            </w:tcBorders>
            <w:vAlign w:val="center"/>
          </w:tcPr>
          <w:p w14:paraId="4F2CC39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标准实施宣贯、培训</w:t>
            </w:r>
          </w:p>
        </w:tc>
      </w:tr>
    </w:tbl>
    <w:p w14:paraId="1C189B6E">
      <w:pPr>
        <w:numPr>
          <w:ilvl w:val="0"/>
          <w:numId w:val="2"/>
        </w:numPr>
        <w:overflowPunct w:val="0"/>
        <w:topLinePunct/>
        <w:spacing w:line="560" w:lineRule="exact"/>
        <w:outlineLvl w:val="0"/>
        <w:rPr>
          <w:rFonts w:eastAsia="黑体"/>
          <w:bCs/>
          <w:color w:val="auto"/>
          <w:sz w:val="32"/>
          <w:szCs w:val="32"/>
        </w:rPr>
      </w:pPr>
      <w:r>
        <w:rPr>
          <w:rFonts w:hint="eastAsia" w:eastAsia="黑体"/>
          <w:bCs/>
          <w:color w:val="auto"/>
          <w:sz w:val="32"/>
          <w:szCs w:val="32"/>
        </w:rPr>
        <w:t>制定标准的必要性和意义</w:t>
      </w:r>
    </w:p>
    <w:p w14:paraId="770F9151">
      <w:pPr>
        <w:overflowPunct w:val="0"/>
        <w:topLinePunct/>
        <w:spacing w:line="560" w:lineRule="exact"/>
        <w:ind w:firstLine="640"/>
        <w:rPr>
          <w:rFonts w:eastAsia="仿宋_GB2312"/>
          <w:color w:val="auto"/>
          <w:sz w:val="32"/>
          <w:szCs w:val="32"/>
        </w:rPr>
      </w:pPr>
      <w:r>
        <w:rPr>
          <w:rFonts w:hint="eastAsia" w:eastAsia="仿宋_GB2312"/>
          <w:color w:val="auto"/>
          <w:sz w:val="32"/>
          <w:szCs w:val="32"/>
        </w:rPr>
        <w:t>老友粉是广西南宁市及其周边地区的著名小吃，有近百年的历史，为广西“三大米粉”之一，是广西南宁传统小吃的金字招牌；2007年入选第一批南宁市级非物质文化遗产名录，2008年入选第二批自治区级非物质文化遗产名录。《南宁市人民政府关于印发促进南宁老友粉产业高质量发展若干措施的通知》（南府规〔2024〕1 号）：明确支持老友粉原材料基地建设，对新认定的竹笋种植示范基地给予1000 元/亩的一次性补贴，加工示范基地按设备投资的 50% 给予补贴（最高 50 万元），为种苗繁育提供资金支持。《南宁市林业局关于加强南宁老友粉原材料（竹笋种植 / 初加工）示范基地建设的指导意见》：进一步细化补贴政策，要求示范基地需符合规模化、标准化要求，并优先支持与老友粉加工企业建立稳定利益联结的主体，推动种苗繁育与产业需求对接。</w:t>
      </w:r>
    </w:p>
    <w:p w14:paraId="285235C3">
      <w:pPr>
        <w:overflowPunct w:val="0"/>
        <w:topLinePunct/>
        <w:spacing w:line="560" w:lineRule="exact"/>
        <w:ind w:firstLine="640"/>
        <w:rPr>
          <w:rFonts w:hint="eastAsia" w:eastAsia="仿宋_GB2312" w:cs="Times New Roman"/>
          <w:color w:val="auto"/>
          <w:sz w:val="32"/>
          <w:szCs w:val="32"/>
        </w:rPr>
      </w:pPr>
      <w:r>
        <w:rPr>
          <w:rFonts w:hint="eastAsia" w:eastAsia="仿宋_GB2312" w:cs="Times New Roman"/>
          <w:color w:val="auto"/>
          <w:sz w:val="32"/>
          <w:szCs w:val="32"/>
        </w:rPr>
        <w:t>老友粉以米粉作为</w:t>
      </w:r>
      <w:r>
        <w:rPr>
          <w:rFonts w:hint="eastAsia" w:eastAsia="仿宋_GB2312" w:cs="Times New Roman"/>
          <w:color w:val="auto"/>
          <w:sz w:val="32"/>
          <w:szCs w:val="32"/>
          <w:lang w:eastAsia="zh-CN"/>
        </w:rPr>
        <w:t>主料</w:t>
      </w:r>
      <w:r>
        <w:rPr>
          <w:rFonts w:hint="eastAsia" w:eastAsia="仿宋_GB2312" w:cs="Times New Roman"/>
          <w:color w:val="auto"/>
          <w:sz w:val="32"/>
          <w:szCs w:val="32"/>
        </w:rPr>
        <w:t>，以酸笋、豆豉、猪肉、牛肉等作为副食，口味酸、鲜、咸、辣，其中酸味主要由酸笋提供。酸笋含有丰富的纤维素，可促进人体的肠胃蠕动，促进消化吸收，有效预防高胆固醇、高血压等疾病，是老友粉独特风味不可或缺的原料之一。老友粉酸笋</w:t>
      </w:r>
      <w:r>
        <w:rPr>
          <w:rFonts w:hint="eastAsia" w:eastAsia="仿宋_GB2312" w:cs="Times New Roman"/>
          <w:color w:val="auto"/>
          <w:sz w:val="32"/>
          <w:szCs w:val="32"/>
          <w:lang w:eastAsia="zh-CN"/>
        </w:rPr>
        <w:t>是</w:t>
      </w:r>
      <w:r>
        <w:rPr>
          <w:rFonts w:hint="eastAsia" w:eastAsia="仿宋_GB2312" w:cs="Times New Roman"/>
          <w:color w:val="auto"/>
          <w:sz w:val="32"/>
          <w:szCs w:val="32"/>
        </w:rPr>
        <w:t>选用麻竹、大头甜竹笋等竹子的新鲜竹笋为原料，浸泡于山泉水、清水或低浓度盐水中，经自然发酵得到一定酸度的传统食材。其中以麻竹产量比例最大。近年来，在政府大力推动与市场需求双重驱动下，老友粉产业呈现出快速扩张的发展态势，这对其核心原料——酸笋的需求量急剧增加。近年来，在政府大力推动与市场需求双重驱动下，老友粉产业呈现出快速扩张的发展态势，这对其核心原料——酸笋的需求量急剧增加。</w:t>
      </w:r>
    </w:p>
    <w:p w14:paraId="08EFF5BD">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rPr>
      </w:pPr>
      <w:r>
        <w:rPr>
          <w:rFonts w:hint="eastAsia" w:eastAsia="仿宋_GB2312" w:cs="Times New Roman"/>
          <w:color w:val="auto"/>
          <w:sz w:val="32"/>
          <w:szCs w:val="32"/>
        </w:rPr>
        <w:t>广西笋用竹类资源丰富，适宜笋用的竹种有6属41种。南宁位于北回归线南侧，属湿润的亚热带季风气候，光热资源充足，年积温较高，雨量充沛，是笋用竹的适生栽培区域，发展竹笋产业具有得天独厚的自然条件和区域优势。酸笋作为老友粉的</w:t>
      </w:r>
      <w:r>
        <w:rPr>
          <w:rFonts w:hint="eastAsia" w:eastAsia="仿宋_GB2312" w:cs="Times New Roman"/>
          <w:color w:val="auto"/>
          <w:sz w:val="32"/>
          <w:szCs w:val="32"/>
          <w:lang w:eastAsia="zh-CN"/>
        </w:rPr>
        <w:t>“</w:t>
      </w:r>
      <w:r>
        <w:rPr>
          <w:rFonts w:hint="eastAsia" w:eastAsia="仿宋_GB2312" w:cs="Times New Roman"/>
          <w:color w:val="auto"/>
          <w:sz w:val="32"/>
          <w:szCs w:val="32"/>
        </w:rPr>
        <w:t>灵魂</w:t>
      </w:r>
      <w:r>
        <w:rPr>
          <w:rFonts w:hint="eastAsia" w:eastAsia="仿宋_GB2312" w:cs="Times New Roman"/>
          <w:color w:val="auto"/>
          <w:sz w:val="32"/>
          <w:szCs w:val="32"/>
          <w:lang w:eastAsia="zh-CN"/>
        </w:rPr>
        <w:t>”</w:t>
      </w:r>
      <w:r>
        <w:rPr>
          <w:rFonts w:hint="eastAsia" w:eastAsia="仿宋_GB2312" w:cs="Times New Roman"/>
          <w:color w:val="auto"/>
          <w:sz w:val="32"/>
          <w:szCs w:val="32"/>
        </w:rPr>
        <w:t>原料，其独特风味直接决定了产品的市场接受度。然而，传统的酸笋供应主要依赖分散的小规模农户，生产能力不稳定、质量参差不齐等问题日益凸显，已成为制约老友粉产业高质量发展的瓶颈。随着南宁老友粉产业规模的不断扩大，竹笋种苗供应不足、质量不一的矛盾日益凸显，亟须通过标准化种苗繁育来保障原料的稳定供应和品质一致。目前南宁市竹笋还存在如下问题</w:t>
      </w:r>
      <w:r>
        <w:rPr>
          <w:rFonts w:hint="eastAsia" w:eastAsia="仿宋_GB2312" w:cs="Times New Roman"/>
          <w:color w:val="auto"/>
          <w:sz w:val="32"/>
          <w:szCs w:val="32"/>
          <w:lang w:eastAsia="zh-CN"/>
        </w:rPr>
        <w:t>：</w:t>
      </w:r>
      <w:r>
        <w:rPr>
          <w:rFonts w:hint="eastAsia" w:eastAsia="仿宋_GB2312" w:cs="Times New Roman"/>
          <w:color w:val="auto"/>
          <w:sz w:val="32"/>
          <w:szCs w:val="32"/>
        </w:rPr>
        <w:t>一是种植规模小，面积仅约3.9万亩，主要分布在良庆区、横县、宾阳县、马山县、邕宁区等地，年竹笋产量仅200万斤，竹笋原材料产能不足；二是大部分竹林缺乏科学的经营管理，林分的立竹结构和年龄结构不合理，林地卫生条件、通风透光条件较差，林地养分供给不足，产量减少，竹笋品质下降，经济效益低下，群众种植笋用竹的积极性不高；三是种植的品种单一，南宁市种植的笋用竹主要有麻竹，约3.43万亩，以及少量的吊丝球竹、绿竹和勃氏甜龙竹等，造成笋用竹品种较单一。这些问题导致南宁市竹笋产业在产量、质量和多样性</w:t>
      </w:r>
      <w:r>
        <w:rPr>
          <w:rFonts w:hint="eastAsia" w:eastAsia="仿宋_GB2312" w:cs="Times New Roman"/>
          <w:color w:val="auto"/>
          <w:sz w:val="32"/>
          <w:szCs w:val="32"/>
          <w:lang w:eastAsia="zh-CN"/>
        </w:rPr>
        <w:t>方面都</w:t>
      </w:r>
      <w:r>
        <w:rPr>
          <w:rFonts w:hint="eastAsia" w:eastAsia="仿宋_GB2312" w:cs="Times New Roman"/>
          <w:color w:val="auto"/>
          <w:sz w:val="32"/>
          <w:szCs w:val="32"/>
        </w:rPr>
        <w:t>无法满足南宁老友粉产业发展的需要。同时</w:t>
      </w:r>
      <w:r>
        <w:rPr>
          <w:rFonts w:hint="eastAsia" w:eastAsia="仿宋_GB2312" w:cs="Times New Roman"/>
          <w:color w:val="auto"/>
          <w:sz w:val="32"/>
          <w:szCs w:val="32"/>
          <w:lang w:eastAsia="zh-CN"/>
        </w:rPr>
        <w:t>，对</w:t>
      </w:r>
      <w:r>
        <w:rPr>
          <w:rFonts w:hint="eastAsia" w:eastAsia="仿宋_GB2312" w:cs="Times New Roman"/>
          <w:color w:val="auto"/>
          <w:sz w:val="32"/>
          <w:szCs w:val="32"/>
        </w:rPr>
        <w:t>竹笋的质量要求参差不齐，缺乏统一的质量标准，影响老友粉产业的标准化和知名度。</w:t>
      </w:r>
    </w:p>
    <w:p w14:paraId="791460FB">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rPr>
      </w:pPr>
      <w:r>
        <w:rPr>
          <w:rFonts w:hint="eastAsia" w:eastAsia="仿宋_GB2312" w:cs="Times New Roman"/>
          <w:color w:val="auto"/>
          <w:sz w:val="32"/>
          <w:szCs w:val="32"/>
        </w:rPr>
        <w:t>按照政策要求，竹笋种植示范基地需要</w:t>
      </w:r>
      <w:r>
        <w:rPr>
          <w:rFonts w:hint="eastAsia" w:eastAsia="仿宋_GB2312" w:cs="Times New Roman"/>
          <w:color w:val="auto"/>
          <w:sz w:val="32"/>
          <w:szCs w:val="32"/>
          <w:lang w:eastAsia="zh-CN"/>
        </w:rPr>
        <w:t>“</w:t>
      </w:r>
      <w:r>
        <w:rPr>
          <w:rFonts w:hint="eastAsia" w:eastAsia="仿宋_GB2312" w:cs="Times New Roman"/>
          <w:color w:val="auto"/>
          <w:sz w:val="32"/>
          <w:szCs w:val="32"/>
        </w:rPr>
        <w:t>相对集中连片，总面积达到200亩以上</w:t>
      </w:r>
      <w:r>
        <w:rPr>
          <w:rFonts w:hint="eastAsia" w:eastAsia="仿宋_GB2312" w:cs="Times New Roman"/>
          <w:color w:val="auto"/>
          <w:sz w:val="32"/>
          <w:szCs w:val="32"/>
          <w:lang w:eastAsia="zh-CN"/>
        </w:rPr>
        <w:t>”</w:t>
      </w:r>
      <w:r>
        <w:rPr>
          <w:rFonts w:hint="eastAsia" w:eastAsia="仿宋_GB2312" w:cs="Times New Roman"/>
          <w:color w:val="auto"/>
          <w:sz w:val="32"/>
          <w:szCs w:val="32"/>
        </w:rPr>
        <w:t>。以此计算，规模化发展竹笋种植基地将需要数量可观且品质统一的竹笋种苗，而目前缺乏统一的种苗繁育标准，难以满足这一需求。老友粉的风味特点主要来自酸笋的独特风味，而酸笋的品质又直接受竹笋品种的影响。只有品种纯正、质量稳定的竹笋种苗，才能保证最终产品的风味一致性。</w:t>
      </w:r>
    </w:p>
    <w:p w14:paraId="22F0BF99">
      <w:pPr>
        <w:pStyle w:val="9"/>
        <w:widowControl/>
        <w:spacing w:before="0" w:beforeAutospacing="0" w:after="0" w:afterAutospacing="0" w:line="520" w:lineRule="exact"/>
        <w:ind w:firstLine="640" w:firstLineChars="200"/>
        <w:jc w:val="both"/>
        <w:rPr>
          <w:rFonts w:eastAsia="仿宋_GB2312" w:cs="Times New Roman"/>
          <w:color w:val="auto"/>
          <w:sz w:val="32"/>
          <w:szCs w:val="32"/>
        </w:rPr>
      </w:pPr>
      <w:r>
        <w:rPr>
          <w:rFonts w:hint="eastAsia" w:eastAsia="仿宋_GB2312" w:cs="Times New Roman"/>
          <w:color w:val="auto"/>
          <w:sz w:val="32"/>
          <w:szCs w:val="32"/>
        </w:rPr>
        <w:t>因此，通过制定团体标准《南宁老友粉原料种苗繁育技术规程 竹笋》，能够为竹笋种苗生产提供统一的技术规范，从根本上解决种苗质量参差不齐的问题。通过标准化的种苗繁育技术，可以确保竹笋品种的纯正性和种苗质量的可靠性，为老友粉原料的稳定供应奠定基础。同时，标准化种苗也有利于降低种植户的生产风险，提高竹笋种植的经济效益，从而激发农户参与原材料基地建设的积极性。制定专门的种苗繁育标准，可以有效保护</w:t>
      </w:r>
      <w:r>
        <w:rPr>
          <w:rFonts w:hint="eastAsia" w:eastAsia="仿宋_GB2312" w:cs="Times New Roman"/>
          <w:color w:val="auto"/>
          <w:sz w:val="32"/>
          <w:szCs w:val="32"/>
          <w:lang w:eastAsia="zh-CN"/>
        </w:rPr>
        <w:t>“</w:t>
      </w:r>
      <w:r>
        <w:rPr>
          <w:rFonts w:hint="eastAsia" w:eastAsia="仿宋_GB2312" w:cs="Times New Roman"/>
          <w:color w:val="auto"/>
          <w:sz w:val="32"/>
          <w:szCs w:val="32"/>
        </w:rPr>
        <w:t>南宁老友粉</w:t>
      </w:r>
      <w:r>
        <w:rPr>
          <w:rFonts w:hint="eastAsia" w:eastAsia="仿宋_GB2312" w:cs="Times New Roman"/>
          <w:color w:val="auto"/>
          <w:sz w:val="32"/>
          <w:szCs w:val="32"/>
          <w:lang w:eastAsia="zh-CN"/>
        </w:rPr>
        <w:t>”</w:t>
      </w:r>
      <w:r>
        <w:rPr>
          <w:rFonts w:hint="eastAsia" w:eastAsia="仿宋_GB2312" w:cs="Times New Roman"/>
          <w:color w:val="auto"/>
          <w:sz w:val="32"/>
          <w:szCs w:val="32"/>
        </w:rPr>
        <w:t>这一地方特色产品的品质特性，防止因原料质量问题导致的品牌价值损害。</w:t>
      </w:r>
    </w:p>
    <w:p w14:paraId="08F316CB">
      <w:pPr>
        <w:numPr>
          <w:ilvl w:val="0"/>
          <w:numId w:val="2"/>
        </w:numPr>
        <w:tabs>
          <w:tab w:val="left" w:pos="600"/>
        </w:tabs>
        <w:overflowPunct w:val="0"/>
        <w:topLinePunct/>
        <w:spacing w:line="560" w:lineRule="exact"/>
        <w:outlineLvl w:val="0"/>
        <w:rPr>
          <w:rFonts w:eastAsia="黑体"/>
          <w:bCs/>
          <w:color w:val="auto"/>
          <w:sz w:val="32"/>
          <w:szCs w:val="32"/>
        </w:rPr>
      </w:pPr>
      <w:r>
        <w:rPr>
          <w:rFonts w:hint="eastAsia" w:eastAsia="黑体"/>
          <w:bCs/>
          <w:color w:val="auto"/>
          <w:sz w:val="32"/>
          <w:szCs w:val="32"/>
        </w:rPr>
        <w:t>标准编制过程</w:t>
      </w:r>
    </w:p>
    <w:p w14:paraId="70BE24C9">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成立标准编制工作组</w:t>
      </w:r>
    </w:p>
    <w:p w14:paraId="49963851">
      <w:pPr>
        <w:spacing w:line="520" w:lineRule="exact"/>
        <w:ind w:firstLine="640" w:firstLineChars="200"/>
        <w:rPr>
          <w:rFonts w:eastAsia="仿宋_GB2312" w:cs="Times New Roman"/>
          <w:color w:val="auto"/>
          <w:sz w:val="32"/>
          <w:szCs w:val="32"/>
          <w:lang w:val="zh-CN"/>
        </w:rPr>
      </w:pPr>
      <w:r>
        <w:rPr>
          <w:rFonts w:hint="eastAsia" w:ascii="仿宋_GB2312" w:eastAsia="仿宋_GB2312" w:cs="Times New Roman"/>
          <w:color w:val="auto"/>
          <w:sz w:val="32"/>
          <w:szCs w:val="32"/>
          <w:lang w:val="zh-CN"/>
        </w:rPr>
        <w:t>团体标准《南宁老友粉原料  竹笋种苗繁育技术规程》项目任务下达后，南宁市林业科学研究所成立了标准编制工作组，制定标准编写方案，明确任务职责，确定工作技术路线，开展标准研制工作。具体标准编制工作由</w:t>
      </w:r>
      <w:r>
        <w:rPr>
          <w:rFonts w:hint="eastAsia" w:ascii="仿宋_GB2312" w:eastAsia="仿宋_GB2312" w:cs="Times New Roman"/>
          <w:color w:val="auto"/>
          <w:sz w:val="32"/>
          <w:szCs w:val="32"/>
        </w:rPr>
        <w:t>南宁市林业科学研究所、广西壮族自治区林业科学研究院、南宁市老友粉协会、广西标准化协会、广西复记食品科技有限公司、广西穗良甜竹科技有限公司、广西南宁市韩太食品有限责任公司、南宁市武鸣区仙笋农业专业合作社、横州市平朗镇和威麻竹笋加工种植专业合作社、南宁林业发展集团有限责任公司</w:t>
      </w:r>
      <w:r>
        <w:rPr>
          <w:rFonts w:hint="eastAsia" w:eastAsia="仿宋_GB2312"/>
          <w:color w:val="auto"/>
          <w:sz w:val="32"/>
          <w:szCs w:val="32"/>
        </w:rPr>
        <w:t>等单位</w:t>
      </w:r>
      <w:r>
        <w:rPr>
          <w:rFonts w:hint="eastAsia" w:eastAsia="仿宋_GB2312" w:cs="Times New Roman"/>
          <w:color w:val="auto"/>
          <w:sz w:val="32"/>
          <w:szCs w:val="32"/>
          <w:lang w:val="zh-CN"/>
        </w:rPr>
        <w:t>的相关人员</w:t>
      </w:r>
      <w:r>
        <w:rPr>
          <w:rFonts w:hint="eastAsia" w:eastAsia="仿宋_GB2312" w:cs="Times New Roman"/>
          <w:color w:val="auto"/>
          <w:sz w:val="32"/>
          <w:szCs w:val="32"/>
        </w:rPr>
        <w:t>共同</w:t>
      </w:r>
      <w:r>
        <w:rPr>
          <w:rFonts w:hint="eastAsia" w:eastAsia="仿宋_GB2312" w:cs="Times New Roman"/>
          <w:color w:val="auto"/>
          <w:sz w:val="32"/>
          <w:szCs w:val="32"/>
          <w:lang w:val="zh-CN"/>
        </w:rPr>
        <w:t>完成。</w:t>
      </w:r>
    </w:p>
    <w:p w14:paraId="22FB5AA9">
      <w:pPr>
        <w:overflowPunct w:val="0"/>
        <w:topLinePunct/>
        <w:spacing w:line="560" w:lineRule="exact"/>
        <w:ind w:firstLine="640"/>
        <w:rPr>
          <w:rFonts w:eastAsia="仿宋_GB2312"/>
          <w:color w:val="auto"/>
          <w:sz w:val="32"/>
          <w:szCs w:val="32"/>
        </w:rPr>
      </w:pPr>
      <w:r>
        <w:rPr>
          <w:rFonts w:hint="eastAsia" w:eastAsia="仿宋_GB2312"/>
          <w:color w:val="auto"/>
          <w:sz w:val="32"/>
          <w:szCs w:val="32"/>
        </w:rPr>
        <w:t>编制工作组下设资料收集组和草案编写组。资料收集组负责</w:t>
      </w:r>
      <w:r>
        <w:rPr>
          <w:rFonts w:hint="eastAsia" w:eastAsia="仿宋_GB2312"/>
          <w:color w:val="auto"/>
          <w:sz w:val="32"/>
          <w:szCs w:val="32"/>
          <w:lang w:eastAsia="zh-CN"/>
        </w:rPr>
        <w:t>查询国内</w:t>
      </w:r>
      <w:r>
        <w:rPr>
          <w:rFonts w:hint="eastAsia" w:eastAsia="仿宋_GB2312"/>
          <w:color w:val="auto"/>
          <w:sz w:val="32"/>
          <w:szCs w:val="32"/>
        </w:rPr>
        <w:t>有关</w:t>
      </w:r>
      <w:r>
        <w:rPr>
          <w:rFonts w:hint="eastAsia" w:eastAsia="仿宋_GB2312"/>
          <w:color w:val="auto"/>
          <w:sz w:val="32"/>
          <w:szCs w:val="32"/>
          <w:lang w:eastAsia="zh-CN"/>
        </w:rPr>
        <w:t>竹笋种苗繁育</w:t>
      </w:r>
      <w:r>
        <w:rPr>
          <w:rFonts w:hint="eastAsia" w:eastAsia="仿宋_GB2312"/>
          <w:color w:val="auto"/>
          <w:sz w:val="32"/>
          <w:szCs w:val="32"/>
        </w:rPr>
        <w:t>的文献资料</w:t>
      </w:r>
      <w:r>
        <w:rPr>
          <w:rFonts w:hint="eastAsia" w:eastAsia="仿宋_GB2312"/>
          <w:color w:val="auto"/>
          <w:sz w:val="32"/>
          <w:szCs w:val="32"/>
          <w:lang w:eastAsia="zh-CN"/>
        </w:rPr>
        <w:t>，收集</w:t>
      </w:r>
      <w:r>
        <w:rPr>
          <w:rFonts w:hint="eastAsia" w:eastAsia="仿宋_GB2312"/>
          <w:color w:val="auto"/>
          <w:sz w:val="32"/>
          <w:szCs w:val="32"/>
        </w:rPr>
        <w:t>相关企业种植的经验做法等资料</w:t>
      </w:r>
      <w:r>
        <w:rPr>
          <w:rFonts w:hint="eastAsia" w:eastAsia="仿宋_GB2312"/>
          <w:color w:val="auto"/>
          <w:sz w:val="32"/>
          <w:szCs w:val="32"/>
          <w:lang w:eastAsia="zh-CN"/>
        </w:rPr>
        <w:t>，</w:t>
      </w:r>
      <w:r>
        <w:rPr>
          <w:rFonts w:hint="eastAsia" w:eastAsia="仿宋_GB2312"/>
          <w:color w:val="auto"/>
          <w:sz w:val="32"/>
          <w:szCs w:val="32"/>
        </w:rPr>
        <w:t>开展各项试验数据资料的收集和整理工作。</w:t>
      </w:r>
    </w:p>
    <w:p w14:paraId="1FD1DA11">
      <w:pPr>
        <w:overflowPunct w:val="0"/>
        <w:topLinePunct/>
        <w:spacing w:line="560" w:lineRule="exact"/>
        <w:ind w:firstLine="640"/>
        <w:rPr>
          <w:rFonts w:eastAsia="仿宋_GB2312"/>
          <w:color w:val="auto"/>
          <w:sz w:val="32"/>
          <w:szCs w:val="32"/>
        </w:rPr>
      </w:pPr>
      <w:r>
        <w:rPr>
          <w:rFonts w:hint="eastAsia" w:eastAsia="仿宋_GB2312"/>
          <w:color w:val="auto"/>
          <w:sz w:val="32"/>
          <w:szCs w:val="32"/>
        </w:rPr>
        <w:t>草案编写组负责起草标准草案、征求意见稿和标准编制说明、</w:t>
      </w:r>
      <w:r>
        <w:rPr>
          <w:rFonts w:hint="eastAsia" w:eastAsia="仿宋_GB2312"/>
          <w:color w:val="auto"/>
          <w:sz w:val="32"/>
          <w:szCs w:val="32"/>
          <w:lang w:eastAsia="zh-CN"/>
        </w:rPr>
        <w:t>送审稿</w:t>
      </w:r>
      <w:r>
        <w:rPr>
          <w:rFonts w:hint="eastAsia" w:eastAsia="仿宋_GB2312"/>
          <w:color w:val="auto"/>
          <w:sz w:val="32"/>
          <w:szCs w:val="32"/>
        </w:rPr>
        <w:t>，包括后期召开征求意见会、网上征求意见，以及标准的不断修改和完善。</w:t>
      </w:r>
    </w:p>
    <w:p w14:paraId="50A77B64">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收集整理文献资料</w:t>
      </w:r>
    </w:p>
    <w:p w14:paraId="44359487">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lang w:val="zh-CN"/>
        </w:rPr>
        <w:t>标准编制工作组收集了国内有关</w:t>
      </w:r>
      <w:r>
        <w:rPr>
          <w:rFonts w:hint="eastAsia" w:eastAsia="仿宋_GB2312" w:cs="Times New Roman"/>
          <w:color w:val="auto"/>
          <w:sz w:val="32"/>
          <w:szCs w:val="32"/>
        </w:rPr>
        <w:t xml:space="preserve">南宁老友粉原料  </w:t>
      </w:r>
      <w:r>
        <w:rPr>
          <w:rFonts w:hint="eastAsia" w:eastAsia="仿宋_GB2312" w:cs="Times New Roman"/>
          <w:color w:val="auto"/>
          <w:sz w:val="32"/>
          <w:szCs w:val="32"/>
          <w:lang w:eastAsia="zh-CN"/>
        </w:rPr>
        <w:t>竹笋种苗繁育的相关</w:t>
      </w:r>
      <w:r>
        <w:rPr>
          <w:rFonts w:hint="eastAsia" w:eastAsia="仿宋_GB2312" w:cs="Times New Roman"/>
          <w:color w:val="auto"/>
          <w:sz w:val="32"/>
          <w:szCs w:val="32"/>
        </w:rPr>
        <w:t>文献资料。</w:t>
      </w:r>
      <w:r>
        <w:rPr>
          <w:rFonts w:hint="eastAsia" w:eastAsia="仿宋_GB2312" w:cs="Times New Roman"/>
          <w:color w:val="auto"/>
          <w:sz w:val="32"/>
          <w:szCs w:val="32"/>
          <w:lang w:val="zh-CN"/>
        </w:rPr>
        <w:t>具体列出如下：</w:t>
      </w:r>
    </w:p>
    <w:p w14:paraId="568FD9C8">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rPr>
        <w:t>DB4502/T 0041-2022柳州螺蛳粉原料 竹笋种植基地评价规范</w:t>
      </w:r>
      <w:r>
        <w:rPr>
          <w:rFonts w:hint="eastAsia" w:eastAsia="仿宋_GB2312" w:cs="Times New Roman"/>
          <w:color w:val="auto"/>
          <w:sz w:val="32"/>
          <w:szCs w:val="32"/>
          <w:lang w:eastAsia="zh-CN"/>
        </w:rPr>
        <w:t>、</w:t>
      </w:r>
      <w:r>
        <w:rPr>
          <w:rFonts w:hint="eastAsia" w:eastAsia="仿宋_GB2312" w:cs="Times New Roman"/>
          <w:color w:val="auto"/>
          <w:sz w:val="32"/>
          <w:szCs w:val="32"/>
        </w:rPr>
        <w:t xml:space="preserve">DB4502/T 0040-2022柳州螺蛳粉原料 </w:t>
      </w:r>
      <w:r>
        <w:rPr>
          <w:rFonts w:hint="eastAsia" w:eastAsia="仿宋_GB2312" w:cs="Times New Roman"/>
          <w:color w:val="auto"/>
          <w:sz w:val="32"/>
          <w:szCs w:val="32"/>
          <w:lang w:eastAsia="zh-CN"/>
        </w:rPr>
        <w:t>竹笋种苗繁育</w:t>
      </w:r>
      <w:r>
        <w:rPr>
          <w:rFonts w:hint="eastAsia" w:eastAsia="仿宋_GB2312" w:cs="Times New Roman"/>
          <w:color w:val="auto"/>
          <w:sz w:val="32"/>
          <w:szCs w:val="32"/>
        </w:rPr>
        <w:t>规范</w:t>
      </w:r>
      <w:r>
        <w:rPr>
          <w:rFonts w:hint="eastAsia" w:eastAsia="仿宋_GB2312" w:cs="Times New Roman"/>
          <w:color w:val="auto"/>
          <w:sz w:val="32"/>
          <w:szCs w:val="32"/>
          <w:lang w:eastAsia="zh-CN"/>
        </w:rPr>
        <w:t>、</w:t>
      </w:r>
      <w:r>
        <w:rPr>
          <w:rFonts w:hint="eastAsia" w:eastAsia="仿宋_GB2312" w:cs="Times New Roman"/>
          <w:color w:val="auto"/>
          <w:sz w:val="32"/>
          <w:szCs w:val="32"/>
        </w:rPr>
        <w:t>DB4418/T 023—2023西牛麻竹笋 种植基地建设规范</w:t>
      </w:r>
      <w:r>
        <w:rPr>
          <w:rFonts w:hint="eastAsia" w:eastAsia="仿宋_GB2312" w:cs="Times New Roman"/>
          <w:color w:val="auto"/>
          <w:sz w:val="32"/>
          <w:szCs w:val="32"/>
          <w:lang w:eastAsia="zh-CN"/>
        </w:rPr>
        <w:t>、</w:t>
      </w:r>
      <w:r>
        <w:rPr>
          <w:rFonts w:eastAsia="仿宋_GB2312" w:cs="Times New Roman"/>
          <w:color w:val="auto"/>
          <w:sz w:val="32"/>
          <w:szCs w:val="32"/>
        </w:rPr>
        <w:t>GB/T</w:t>
      </w:r>
      <w:r>
        <w:rPr>
          <w:rFonts w:hint="eastAsia" w:eastAsia="仿宋_GB2312" w:cs="Times New Roman"/>
          <w:color w:val="auto"/>
          <w:sz w:val="32"/>
          <w:szCs w:val="32"/>
        </w:rPr>
        <w:t xml:space="preserve"> 32770-2016 竹子名词术语、GB/T 30762-2014 主要竹笋质量分级</w:t>
      </w:r>
      <w:r>
        <w:rPr>
          <w:rFonts w:hint="eastAsia" w:eastAsia="仿宋_GB2312" w:cs="Times New Roman"/>
          <w:color w:val="auto"/>
          <w:sz w:val="32"/>
          <w:szCs w:val="32"/>
          <w:lang w:eastAsia="zh-CN"/>
        </w:rPr>
        <w:t>、</w:t>
      </w:r>
      <w:r>
        <w:rPr>
          <w:rFonts w:eastAsia="仿宋_GB2312" w:cs="Times New Roman"/>
          <w:color w:val="auto"/>
          <w:sz w:val="32"/>
          <w:szCs w:val="32"/>
        </w:rPr>
        <w:t xml:space="preserve">LY/T </w:t>
      </w:r>
      <w:r>
        <w:rPr>
          <w:rFonts w:hint="eastAsia" w:eastAsia="仿宋_GB2312" w:cs="Times New Roman"/>
          <w:color w:val="auto"/>
          <w:sz w:val="32"/>
          <w:szCs w:val="32"/>
        </w:rPr>
        <w:t>2338麻竹栽培技术规程、DB45/T 1776-2018 麻竹低产林改造技术规程、</w:t>
      </w:r>
      <w:r>
        <w:rPr>
          <w:rFonts w:eastAsia="仿宋_GB2312" w:cs="Times New Roman"/>
          <w:color w:val="auto"/>
          <w:sz w:val="32"/>
          <w:szCs w:val="32"/>
        </w:rPr>
        <w:t>DBS 45/053</w:t>
      </w:r>
      <w:r>
        <w:rPr>
          <w:rFonts w:hint="eastAsia" w:eastAsia="仿宋_GB2312" w:cs="Times New Roman"/>
          <w:color w:val="auto"/>
          <w:sz w:val="32"/>
          <w:szCs w:val="32"/>
        </w:rPr>
        <w:t>-</w:t>
      </w:r>
      <w:r>
        <w:rPr>
          <w:rFonts w:eastAsia="仿宋_GB2312" w:cs="Times New Roman"/>
          <w:color w:val="auto"/>
          <w:sz w:val="32"/>
          <w:szCs w:val="32"/>
        </w:rPr>
        <w:t>2018</w:t>
      </w:r>
      <w:r>
        <w:rPr>
          <w:rFonts w:hint="eastAsia" w:eastAsia="仿宋_GB2312" w:cs="Times New Roman"/>
          <w:color w:val="auto"/>
          <w:sz w:val="32"/>
          <w:szCs w:val="32"/>
        </w:rPr>
        <w:t xml:space="preserve">  食品安全地方标准 南宁老友粉、</w:t>
      </w:r>
      <w:r>
        <w:rPr>
          <w:rFonts w:eastAsia="仿宋_GB2312" w:cs="Times New Roman"/>
          <w:color w:val="auto"/>
          <w:sz w:val="32"/>
          <w:szCs w:val="32"/>
        </w:rPr>
        <w:t xml:space="preserve">DB35/T 1684-2017 </w:t>
      </w:r>
      <w:r>
        <w:rPr>
          <w:rFonts w:hint="eastAsia" w:eastAsia="仿宋_GB2312" w:cs="Times New Roman"/>
          <w:color w:val="auto"/>
          <w:sz w:val="32"/>
          <w:szCs w:val="32"/>
        </w:rPr>
        <w:t>黄甜竹笋用林丰产栽培技术规程、</w:t>
      </w:r>
      <w:r>
        <w:rPr>
          <w:rFonts w:eastAsia="仿宋_GB2312" w:cs="Times New Roman"/>
          <w:color w:val="auto"/>
          <w:sz w:val="32"/>
          <w:szCs w:val="32"/>
        </w:rPr>
        <w:t xml:space="preserve">DB36/T 1461-2021 </w:t>
      </w:r>
      <w:r>
        <w:rPr>
          <w:rFonts w:hint="eastAsia" w:eastAsia="仿宋_GB2312" w:cs="Times New Roman"/>
          <w:color w:val="auto"/>
          <w:sz w:val="32"/>
          <w:szCs w:val="32"/>
        </w:rPr>
        <w:t>毛竹笋早出培育技术规程、</w:t>
      </w:r>
      <w:r>
        <w:rPr>
          <w:rFonts w:eastAsia="仿宋_GB2312" w:cs="Times New Roman"/>
          <w:color w:val="auto"/>
          <w:sz w:val="32"/>
          <w:szCs w:val="32"/>
        </w:rPr>
        <w:t xml:space="preserve">DB35/T 1436-2014 </w:t>
      </w:r>
      <w:r>
        <w:rPr>
          <w:rFonts w:hint="eastAsia" w:eastAsia="仿宋_GB2312" w:cs="Times New Roman"/>
          <w:color w:val="auto"/>
          <w:sz w:val="32"/>
          <w:szCs w:val="32"/>
        </w:rPr>
        <w:t>苦竹笋材两用林丰产培育技术规程、</w:t>
      </w:r>
      <w:r>
        <w:rPr>
          <w:rFonts w:eastAsia="仿宋_GB2312" w:cs="Times New Roman"/>
          <w:color w:val="auto"/>
          <w:sz w:val="32"/>
          <w:szCs w:val="32"/>
        </w:rPr>
        <w:t xml:space="preserve">DB34/T 1584.3-2012 </w:t>
      </w:r>
      <w:r>
        <w:rPr>
          <w:rFonts w:hint="eastAsia" w:eastAsia="仿宋_GB2312" w:cs="Times New Roman"/>
          <w:color w:val="auto"/>
          <w:sz w:val="32"/>
          <w:szCs w:val="32"/>
        </w:rPr>
        <w:t>雷竹笋用林培育技术规程</w:t>
      </w:r>
      <w:r>
        <w:rPr>
          <w:rFonts w:eastAsia="仿宋_GB2312" w:cs="Times New Roman"/>
          <w:color w:val="auto"/>
          <w:sz w:val="32"/>
          <w:szCs w:val="32"/>
        </w:rPr>
        <w:t xml:space="preserve"> </w:t>
      </w:r>
      <w:r>
        <w:rPr>
          <w:rFonts w:hint="eastAsia" w:eastAsia="仿宋_GB2312" w:cs="Times New Roman"/>
          <w:color w:val="auto"/>
          <w:sz w:val="32"/>
          <w:szCs w:val="32"/>
        </w:rPr>
        <w:t>第</w:t>
      </w:r>
      <w:r>
        <w:rPr>
          <w:rFonts w:eastAsia="仿宋_GB2312" w:cs="Times New Roman"/>
          <w:color w:val="auto"/>
          <w:sz w:val="32"/>
          <w:szCs w:val="32"/>
        </w:rPr>
        <w:t>3</w:t>
      </w:r>
      <w:r>
        <w:rPr>
          <w:rFonts w:hint="eastAsia" w:eastAsia="仿宋_GB2312" w:cs="Times New Roman"/>
          <w:color w:val="auto"/>
          <w:sz w:val="32"/>
          <w:szCs w:val="32"/>
        </w:rPr>
        <w:t>部分：培育技术、DB44/T 358-2006 麻竹笋栽培技术规程、</w:t>
      </w:r>
      <w:r>
        <w:rPr>
          <w:rFonts w:eastAsia="仿宋_GB2312" w:cs="Times New Roman"/>
          <w:color w:val="auto"/>
          <w:sz w:val="32"/>
          <w:szCs w:val="32"/>
        </w:rPr>
        <w:t>DB45/T 905—2019地理标志产品 八渡笋</w:t>
      </w:r>
      <w:r>
        <w:rPr>
          <w:rFonts w:hint="eastAsia" w:eastAsia="仿宋_GB2312" w:cs="Times New Roman"/>
          <w:color w:val="auto"/>
          <w:sz w:val="32"/>
          <w:szCs w:val="32"/>
        </w:rPr>
        <w:t>、</w:t>
      </w:r>
      <w:r>
        <w:rPr>
          <w:rFonts w:eastAsia="仿宋_GB2312" w:cs="Times New Roman"/>
          <w:color w:val="auto"/>
          <w:sz w:val="32"/>
          <w:szCs w:val="32"/>
        </w:rPr>
        <w:t>DB4452/T 9-2022</w:t>
      </w:r>
      <w:r>
        <w:rPr>
          <w:rFonts w:hint="eastAsia" w:eastAsia="仿宋_GB2312" w:cs="Times New Roman"/>
          <w:color w:val="auto"/>
          <w:sz w:val="32"/>
          <w:szCs w:val="32"/>
        </w:rPr>
        <w:t xml:space="preserve"> 竹笋栽培技术规程等</w:t>
      </w:r>
      <w:r>
        <w:rPr>
          <w:rFonts w:hint="eastAsia" w:eastAsia="仿宋_GB2312" w:cs="Times New Roman"/>
          <w:color w:val="auto"/>
          <w:sz w:val="32"/>
          <w:szCs w:val="32"/>
          <w:lang w:val="zh-CN"/>
        </w:rPr>
        <w:t>。</w:t>
      </w:r>
    </w:p>
    <w:p w14:paraId="67A2A638">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标准</w:t>
      </w:r>
      <w:r>
        <w:rPr>
          <w:rFonts w:hint="eastAsia" w:ascii="楷体" w:hAnsi="楷体" w:eastAsia="楷体"/>
          <w:b/>
          <w:color w:val="auto"/>
          <w:sz w:val="32"/>
          <w:szCs w:val="32"/>
          <w:lang w:val="en-US" w:eastAsia="zh-CN"/>
        </w:rPr>
        <w:t>特色、创新及</w:t>
      </w:r>
      <w:r>
        <w:rPr>
          <w:rFonts w:hint="eastAsia" w:ascii="楷体" w:hAnsi="楷体" w:eastAsia="楷体"/>
          <w:b/>
          <w:color w:val="auto"/>
          <w:sz w:val="32"/>
          <w:szCs w:val="32"/>
          <w:lang w:val="zh-CN"/>
        </w:rPr>
        <w:t>主体内容</w:t>
      </w:r>
    </w:p>
    <w:p w14:paraId="48E39092">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服务于南宁老友粉产业链上游，为老友粉专用酸笋提供标准化、优质化的竹笋种苗，同时与 T/GXAS 1168（老友粉原料竹笋）形成配套，实现 “种苗繁育 - 原料品质” 的上下游标准衔接。</w:t>
      </w:r>
    </w:p>
    <w:p w14:paraId="3DD18241">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1.标准特色与创新</w:t>
      </w:r>
    </w:p>
    <w:p w14:paraId="2805FE41">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填补了南宁老友粉上游竹笋种苗标准化的行业空白，现有标准均为通用竹笋或其他特色农产品的种苗/栽培标准，无针对“老友粉酸笋原料”的专项种苗规范，本标准直接对接老友粉产业的原料需求，实现竹笋种苗的“食品产业链定制化”。</w:t>
      </w:r>
    </w:p>
    <w:p w14:paraId="41A71CE5">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所有技术参数均基于南宁本地自然条件制定，如赤壤地块、年平均温20~23℃、年降水量 1200mm～1700mm、立春至惊蛰育苗，区别于DB4418/T 021（广东西牛，红壤、年均温 19.5~21.7℃）等地方标准的地域参数，大幅提升种苗在南宁的成活率和适配性。</w:t>
      </w:r>
    </w:p>
    <w:p w14:paraId="51306E21">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本标准在现有竹笋标准（如LY/T 2338、DB4418/T 021、LY/T 1000）的基础上，实现了技术参数的精细化、育苗工艺的优化、管理要求的阶段化。对枝条、母竹、笋蔸三类插穗分别制定可量化的物理指标+质化的品质要求，远严于现有行业/地方标准的通用要求，现有标准如LY/T 2338仅对插穗做“健壮无病害”的笼统要求，DB4418/T 021无笋蔸专项筛选指标。在LY/T 1000通用容器育苗的基础上，针对麻竹/吊丝球竹的生长特性对容器育苗工艺进行优化，明确了现有标准未提及的量化参数。将苗期管理按生长阶段划分为出苗期、旺盛期、生长后期、炼苗期，为每个阶段制定专属的水分、施肥、炼苗指标，实现 “精细化阶段管理”。本标准是现有竹笋标准体系的重要补充和创新突破，填补了老友粉原料竹笋种苗繁育的标准空白；从“粗放化”到“精细化”，实现了育苗全流程的量化参数管控。</w:t>
      </w:r>
    </w:p>
    <w:p w14:paraId="44ACBE15">
      <w:pPr>
        <w:pStyle w:val="9"/>
        <w:widowControl/>
        <w:spacing w:before="0" w:beforeAutospacing="0" w:after="0" w:afterAutospacing="0" w:line="520" w:lineRule="exact"/>
        <w:ind w:firstLine="640" w:firstLineChars="200"/>
        <w:jc w:val="both"/>
        <w:rPr>
          <w:rFonts w:hint="default" w:eastAsia="仿宋_GB2312" w:cs="Times New Roman"/>
          <w:color w:val="auto"/>
          <w:sz w:val="32"/>
          <w:szCs w:val="32"/>
          <w:lang w:val="en-US" w:eastAsia="zh-CN"/>
        </w:rPr>
      </w:pPr>
      <w:r>
        <w:rPr>
          <w:rFonts w:hint="eastAsia" w:eastAsia="仿宋_GB2312" w:cs="Times New Roman"/>
          <w:color w:val="auto"/>
          <w:sz w:val="32"/>
          <w:szCs w:val="32"/>
          <w:lang w:val="en-US" w:eastAsia="zh-CN"/>
        </w:rPr>
        <w:t>2.主体内容</w:t>
      </w:r>
    </w:p>
    <w:p w14:paraId="65CFA701">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lang w:val="zh-CN"/>
        </w:rPr>
        <w:t>标准编制工作组在对收集的资料进行整理研究后，召开了标准编制会议，对标准的整体框架进行了讨论研究，并对标准的关键性问题进行了初步探讨。经过研究，标准的主体内容包括南宁老友粉原料竹笋种苗繁育的</w:t>
      </w:r>
      <w:r>
        <w:rPr>
          <w:rFonts w:hint="eastAsia" w:eastAsia="仿宋_GB2312" w:cs="Times New Roman"/>
          <w:color w:val="auto"/>
          <w:sz w:val="32"/>
          <w:szCs w:val="32"/>
          <w:lang w:val="en-US" w:eastAsia="zh-CN"/>
        </w:rPr>
        <w:t>苗圃地选择</w:t>
      </w:r>
      <w:r>
        <w:rPr>
          <w:rFonts w:hint="eastAsia" w:eastAsia="仿宋_GB2312" w:cs="Times New Roman"/>
          <w:color w:val="auto"/>
          <w:sz w:val="32"/>
          <w:szCs w:val="32"/>
          <w:lang w:val="zh-CN"/>
        </w:rPr>
        <w:t>、</w:t>
      </w:r>
      <w:r>
        <w:rPr>
          <w:rFonts w:hint="eastAsia" w:eastAsia="仿宋_GB2312" w:cs="Times New Roman"/>
          <w:color w:val="auto"/>
          <w:sz w:val="32"/>
          <w:szCs w:val="32"/>
          <w:lang w:val="en-US" w:eastAsia="zh-CN"/>
        </w:rPr>
        <w:t>育苗竹种选择</w:t>
      </w:r>
      <w:r>
        <w:rPr>
          <w:rFonts w:hint="eastAsia" w:eastAsia="仿宋_GB2312" w:cs="Times New Roman"/>
          <w:color w:val="auto"/>
          <w:sz w:val="32"/>
          <w:szCs w:val="32"/>
          <w:lang w:val="zh-CN"/>
        </w:rPr>
        <w:t>、</w:t>
      </w:r>
      <w:r>
        <w:rPr>
          <w:rFonts w:hint="eastAsia" w:eastAsia="仿宋_GB2312" w:cs="Times New Roman"/>
          <w:color w:val="auto"/>
          <w:sz w:val="32"/>
          <w:szCs w:val="32"/>
          <w:lang w:val="en-US" w:eastAsia="zh-CN"/>
        </w:rPr>
        <w:t>插穗选择、繁育方式、苗期管理、病虫害防控、苗木出圃</w:t>
      </w:r>
      <w:r>
        <w:rPr>
          <w:rFonts w:hint="eastAsia" w:eastAsia="仿宋_GB2312" w:cs="Times New Roman"/>
          <w:color w:val="auto"/>
          <w:sz w:val="32"/>
          <w:szCs w:val="32"/>
          <w:lang w:val="zh-CN"/>
        </w:rPr>
        <w:t>等要求。</w:t>
      </w:r>
    </w:p>
    <w:p w14:paraId="6A46CA72">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调研、形成文本草案、征求意见稿</w:t>
      </w:r>
    </w:p>
    <w:p w14:paraId="38D165A2">
      <w:pPr>
        <w:spacing w:line="520" w:lineRule="exact"/>
        <w:ind w:firstLine="640" w:firstLineChars="200"/>
        <w:rPr>
          <w:rFonts w:ascii="仿宋_GB2312" w:eastAsia="仿宋_GB2312"/>
          <w:color w:val="auto"/>
          <w:sz w:val="32"/>
          <w:szCs w:val="32"/>
          <w:lang w:val="zh-CN"/>
        </w:rPr>
      </w:pPr>
      <w:r>
        <w:rPr>
          <w:rFonts w:hint="eastAsia" w:eastAsia="仿宋_GB2312" w:cs="Times New Roman"/>
          <w:color w:val="auto"/>
          <w:sz w:val="32"/>
          <w:szCs w:val="32"/>
          <w:lang w:val="zh-CN"/>
        </w:rPr>
        <w:t>202</w:t>
      </w:r>
      <w:r>
        <w:rPr>
          <w:rFonts w:hint="eastAsia" w:eastAsia="仿宋_GB2312" w:cs="Times New Roman"/>
          <w:color w:val="auto"/>
          <w:sz w:val="32"/>
          <w:szCs w:val="32"/>
          <w:lang w:val="en-US" w:eastAsia="zh-CN"/>
        </w:rPr>
        <w:t>5</w:t>
      </w:r>
      <w:r>
        <w:rPr>
          <w:rFonts w:hint="eastAsia" w:eastAsia="仿宋_GB2312" w:cs="Times New Roman"/>
          <w:color w:val="auto"/>
          <w:sz w:val="32"/>
          <w:szCs w:val="32"/>
          <w:lang w:val="zh-CN"/>
        </w:rPr>
        <w:t>年</w:t>
      </w:r>
      <w:r>
        <w:rPr>
          <w:rFonts w:hint="eastAsia" w:eastAsia="仿宋_GB2312" w:cs="Times New Roman"/>
          <w:color w:val="auto"/>
          <w:sz w:val="32"/>
          <w:szCs w:val="32"/>
          <w:lang w:val="en-US" w:eastAsia="zh-CN"/>
        </w:rPr>
        <w:t>1</w:t>
      </w:r>
      <w:r>
        <w:rPr>
          <w:rFonts w:hint="eastAsia" w:eastAsia="仿宋_GB2312" w:cs="Times New Roman"/>
          <w:color w:val="auto"/>
          <w:sz w:val="32"/>
          <w:szCs w:val="32"/>
        </w:rPr>
        <w:t>月</w:t>
      </w:r>
      <w:r>
        <w:rPr>
          <w:rFonts w:hint="eastAsia" w:eastAsia="仿宋_GB2312" w:cs="Times New Roman"/>
          <w:color w:val="auto"/>
          <w:sz w:val="32"/>
          <w:szCs w:val="32"/>
          <w:lang w:val="en-US" w:eastAsia="zh-CN"/>
        </w:rPr>
        <w:t>至11月</w:t>
      </w:r>
      <w:r>
        <w:rPr>
          <w:rFonts w:hint="eastAsia" w:eastAsia="仿宋_GB2312" w:cs="Times New Roman"/>
          <w:color w:val="auto"/>
          <w:sz w:val="32"/>
          <w:szCs w:val="32"/>
          <w:lang w:val="zh-CN"/>
        </w:rPr>
        <w:t>，标准编制工作组进行了广泛实地调研工作，深入</w:t>
      </w:r>
      <w:r>
        <w:rPr>
          <w:rFonts w:hint="eastAsia" w:eastAsia="仿宋_GB2312"/>
          <w:color w:val="auto"/>
          <w:sz w:val="32"/>
          <w:szCs w:val="32"/>
        </w:rPr>
        <w:t>南宁市老友粉协会、广西复记食品科技有限公司、</w:t>
      </w:r>
      <w:r>
        <w:rPr>
          <w:rFonts w:ascii="仿宋_GB2312" w:eastAsia="仿宋_GB2312"/>
          <w:color w:val="auto"/>
          <w:sz w:val="32"/>
          <w:szCs w:val="32"/>
        </w:rPr>
        <w:t>宾阳武陵龙城</w:t>
      </w:r>
      <w:r>
        <w:rPr>
          <w:rFonts w:hint="eastAsia" w:ascii="仿宋_GB2312" w:eastAsia="仿宋_GB2312"/>
          <w:color w:val="auto"/>
          <w:sz w:val="32"/>
          <w:szCs w:val="32"/>
        </w:rPr>
        <w:t>种植家庭农场</w:t>
      </w:r>
      <w:r>
        <w:rPr>
          <w:rFonts w:hint="eastAsia" w:eastAsia="仿宋_GB2312" w:cs="Times New Roman"/>
          <w:color w:val="auto"/>
          <w:sz w:val="32"/>
          <w:szCs w:val="32"/>
          <w:lang w:val="zh-CN"/>
        </w:rPr>
        <w:t>、</w:t>
      </w:r>
      <w:r>
        <w:rPr>
          <w:rFonts w:hint="eastAsia" w:ascii="仿宋_GB2312" w:eastAsia="仿宋_GB2312"/>
          <w:color w:val="auto"/>
          <w:sz w:val="32"/>
          <w:szCs w:val="32"/>
        </w:rPr>
        <w:t>广西</w:t>
      </w:r>
      <w:r>
        <w:rPr>
          <w:rFonts w:ascii="仿宋_GB2312" w:eastAsia="仿宋_GB2312"/>
          <w:color w:val="auto"/>
          <w:sz w:val="32"/>
          <w:szCs w:val="32"/>
        </w:rPr>
        <w:t>穗良</w:t>
      </w:r>
      <w:r>
        <w:rPr>
          <w:rFonts w:hint="eastAsia" w:ascii="仿宋_GB2312" w:eastAsia="仿宋_GB2312"/>
          <w:color w:val="auto"/>
          <w:sz w:val="32"/>
          <w:szCs w:val="32"/>
        </w:rPr>
        <w:t>甜竹科技有限</w:t>
      </w:r>
      <w:r>
        <w:rPr>
          <w:rFonts w:ascii="仿宋_GB2312" w:eastAsia="仿宋_GB2312"/>
          <w:color w:val="auto"/>
          <w:sz w:val="32"/>
          <w:szCs w:val="32"/>
        </w:rPr>
        <w:t>公司</w:t>
      </w:r>
      <w:r>
        <w:rPr>
          <w:rFonts w:hint="eastAsia" w:eastAsia="仿宋_GB2312" w:cs="Times New Roman"/>
          <w:color w:val="auto"/>
          <w:sz w:val="32"/>
          <w:szCs w:val="32"/>
          <w:lang w:val="zh-CN"/>
        </w:rPr>
        <w:t>、</w:t>
      </w:r>
      <w:r>
        <w:rPr>
          <w:rFonts w:hint="eastAsia" w:ascii="仿宋_GB2312" w:eastAsia="仿宋_GB2312"/>
          <w:color w:val="auto"/>
          <w:sz w:val="32"/>
          <w:szCs w:val="32"/>
        </w:rPr>
        <w:t>广西南宁嘉柚美生态农业有限公司、横州市镇龙林场、横州市威和食品有限公司和</w:t>
      </w:r>
      <w:r>
        <w:rPr>
          <w:rFonts w:ascii="仿宋_GB2312" w:eastAsia="仿宋_GB2312"/>
          <w:color w:val="auto"/>
          <w:sz w:val="32"/>
          <w:szCs w:val="32"/>
        </w:rPr>
        <w:t>南宁市武鸣区仙笋农业专业合作社</w:t>
      </w:r>
      <w:r>
        <w:rPr>
          <w:rFonts w:hint="eastAsia" w:ascii="仿宋_GB2312" w:eastAsia="仿宋_GB2312"/>
          <w:color w:val="auto"/>
          <w:sz w:val="32"/>
          <w:szCs w:val="32"/>
        </w:rPr>
        <w:t>等单位</w:t>
      </w:r>
      <w:r>
        <w:rPr>
          <w:rFonts w:hint="eastAsia" w:eastAsia="仿宋_GB2312" w:cs="Times New Roman"/>
          <w:color w:val="auto"/>
          <w:sz w:val="32"/>
          <w:szCs w:val="32"/>
          <w:lang w:val="zh-CN"/>
        </w:rPr>
        <w:t>，对南宁老友粉原料竹笋的</w:t>
      </w:r>
      <w:r>
        <w:rPr>
          <w:rFonts w:hint="eastAsia" w:eastAsia="仿宋_GB2312" w:cs="Times New Roman"/>
          <w:color w:val="auto"/>
          <w:sz w:val="32"/>
          <w:szCs w:val="32"/>
          <w:lang w:val="en-US" w:eastAsia="zh-CN"/>
        </w:rPr>
        <w:t>选址要求、基础设施建设</w:t>
      </w:r>
      <w:r>
        <w:rPr>
          <w:rFonts w:hint="eastAsia" w:eastAsia="仿宋_GB2312" w:cs="Times New Roman"/>
          <w:color w:val="auto"/>
          <w:sz w:val="32"/>
          <w:szCs w:val="32"/>
          <w:lang w:val="zh-CN"/>
        </w:rPr>
        <w:t>、</w:t>
      </w:r>
      <w:r>
        <w:rPr>
          <w:rFonts w:hint="eastAsia" w:eastAsia="仿宋_GB2312" w:cs="Times New Roman"/>
          <w:color w:val="auto"/>
          <w:sz w:val="32"/>
          <w:szCs w:val="32"/>
        </w:rPr>
        <w:t>组织建设主体及人员配备、种植管理、质量安全管理</w:t>
      </w:r>
      <w:r>
        <w:rPr>
          <w:rFonts w:hint="eastAsia" w:eastAsia="仿宋_GB2312" w:cs="Times New Roman"/>
          <w:color w:val="auto"/>
          <w:sz w:val="32"/>
          <w:szCs w:val="32"/>
          <w:lang w:val="zh-CN"/>
        </w:rPr>
        <w:t>等方面的技术要求进行调研。</w:t>
      </w:r>
      <w:r>
        <w:rPr>
          <w:rFonts w:hint="eastAsia" w:ascii="仿宋_GB2312" w:eastAsia="仿宋_GB2312"/>
          <w:color w:val="auto"/>
          <w:sz w:val="32"/>
          <w:szCs w:val="32"/>
          <w:lang w:val="zh-CN"/>
        </w:rPr>
        <w:t>同时，查阅了大量的国内外文献资料，对</w:t>
      </w:r>
      <w:r>
        <w:rPr>
          <w:rFonts w:hint="eastAsia" w:eastAsia="仿宋_GB2312" w:cs="Times New Roman"/>
          <w:color w:val="auto"/>
          <w:sz w:val="32"/>
          <w:szCs w:val="32"/>
          <w:lang w:val="zh-CN"/>
        </w:rPr>
        <w:t>南宁老友粉原料竹笋种苗繁育技术要求</w:t>
      </w:r>
      <w:r>
        <w:rPr>
          <w:rFonts w:hint="eastAsia" w:ascii="仿宋_GB2312" w:eastAsia="仿宋_GB2312"/>
          <w:color w:val="auto"/>
          <w:sz w:val="32"/>
          <w:szCs w:val="32"/>
          <w:lang w:val="zh-CN"/>
        </w:rPr>
        <w:t>进行系统总结。并</w:t>
      </w:r>
      <w:r>
        <w:rPr>
          <w:rFonts w:hint="eastAsia" w:eastAsia="仿宋_GB2312" w:cs="Times New Roman"/>
          <w:color w:val="auto"/>
          <w:sz w:val="32"/>
          <w:szCs w:val="32"/>
          <w:lang w:val="zh-CN"/>
        </w:rPr>
        <w:t>召集相关人员开展标准研讨会，对主要内容进行了讨论后</w:t>
      </w:r>
      <w:r>
        <w:rPr>
          <w:rFonts w:hint="eastAsia" w:ascii="仿宋_GB2312" w:eastAsia="仿宋_GB2312"/>
          <w:color w:val="auto"/>
          <w:sz w:val="32"/>
          <w:szCs w:val="32"/>
          <w:lang w:val="zh-CN"/>
        </w:rPr>
        <w:t>，形成了标准的基本构架，对项目的工作进行了部署和安排。</w:t>
      </w:r>
    </w:p>
    <w:p w14:paraId="5434D91C">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rPr>
        <w:t>202</w:t>
      </w:r>
      <w:r>
        <w:rPr>
          <w:rFonts w:hint="eastAsia" w:eastAsia="仿宋_GB2312" w:cs="Times New Roman"/>
          <w:color w:val="auto"/>
          <w:sz w:val="32"/>
          <w:szCs w:val="32"/>
          <w:lang w:val="en-US" w:eastAsia="zh-CN"/>
        </w:rPr>
        <w:t>5</w:t>
      </w:r>
      <w:r>
        <w:rPr>
          <w:rFonts w:hint="eastAsia" w:eastAsia="仿宋_GB2312" w:cs="Times New Roman"/>
          <w:color w:val="auto"/>
          <w:sz w:val="32"/>
          <w:szCs w:val="32"/>
        </w:rPr>
        <w:t>年</w:t>
      </w:r>
      <w:r>
        <w:rPr>
          <w:rFonts w:hint="eastAsia" w:eastAsia="仿宋_GB2312" w:cs="Times New Roman"/>
          <w:color w:val="auto"/>
          <w:sz w:val="32"/>
          <w:szCs w:val="32"/>
          <w:lang w:val="en-US" w:eastAsia="zh-CN"/>
        </w:rPr>
        <w:t>12</w:t>
      </w:r>
      <w:r>
        <w:rPr>
          <w:rFonts w:hint="eastAsia" w:eastAsia="仿宋_GB2312" w:cs="Times New Roman"/>
          <w:color w:val="auto"/>
          <w:sz w:val="32"/>
          <w:szCs w:val="32"/>
        </w:rPr>
        <w:t>月，</w:t>
      </w:r>
      <w:r>
        <w:rPr>
          <w:rFonts w:hint="eastAsia" w:eastAsia="仿宋_GB2312" w:cs="Times New Roman"/>
          <w:color w:val="auto"/>
          <w:sz w:val="32"/>
          <w:szCs w:val="32"/>
          <w:lang w:val="zh-CN"/>
        </w:rPr>
        <w:t>标准编制工作组继续深入南宁市邕宁区、马山县和上林县的竹笋产地开展调研。并在前期工作的基础之上，通过理清逻辑脉络，整合已有的参考资料中有关南宁老友粉原料竹笋的内容，并结合南宁老友粉原料竹笋技术实际要求及前期研究的基础上，按照简化、统一等原则编制完成团体标准《南宁老友粉原料  竹笋种苗繁育技术规程》（草案）。</w:t>
      </w:r>
    </w:p>
    <w:p w14:paraId="75FDFD32">
      <w:pPr>
        <w:pStyle w:val="9"/>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p>
    <w:p w14:paraId="0A79D82C">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9"/>
        <w:gridCol w:w="2949"/>
        <w:gridCol w:w="2950"/>
      </w:tblGrid>
      <w:tr w14:paraId="131CD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4" w:hRule="atLeast"/>
        </w:trPr>
        <w:tc>
          <w:tcPr>
            <w:tcW w:w="2949" w:type="dxa"/>
          </w:tcPr>
          <w:p w14:paraId="7F66D105">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lang w:val="zh-CN"/>
              </w:rPr>
              <w:drawing>
                <wp:anchor distT="0" distB="0" distL="114300" distR="114300" simplePos="0" relativeHeight="251659264" behindDoc="0" locked="0" layoutInCell="1" allowOverlap="1">
                  <wp:simplePos x="0" y="0"/>
                  <wp:positionH relativeFrom="column">
                    <wp:posOffset>132080</wp:posOffset>
                  </wp:positionH>
                  <wp:positionV relativeFrom="paragraph">
                    <wp:posOffset>62865</wp:posOffset>
                  </wp:positionV>
                  <wp:extent cx="1453515" cy="1089660"/>
                  <wp:effectExtent l="0" t="0" r="13335" b="15240"/>
                  <wp:wrapTopAndBottom/>
                  <wp:docPr id="1" name="图片 1" descr="组织标准编制研讨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组织标准编制研讨会"/>
                          <pic:cNvPicPr>
                            <a:picLocks noChangeAspect="1"/>
                          </pic:cNvPicPr>
                        </pic:nvPicPr>
                        <pic:blipFill>
                          <a:blip r:embed="rId5"/>
                          <a:stretch>
                            <a:fillRect/>
                          </a:stretch>
                        </pic:blipFill>
                        <pic:spPr>
                          <a:xfrm>
                            <a:off x="0" y="0"/>
                            <a:ext cx="1453515" cy="1089660"/>
                          </a:xfrm>
                          <a:prstGeom prst="rect">
                            <a:avLst/>
                          </a:prstGeom>
                        </pic:spPr>
                      </pic:pic>
                    </a:graphicData>
                  </a:graphic>
                </wp:anchor>
              </w:drawing>
            </w:r>
            <w:r>
              <w:rPr>
                <w:rFonts w:hint="eastAsia" w:eastAsia="仿宋_GB2312" w:cs="Times New Roman"/>
                <w:color w:val="auto"/>
                <w:sz w:val="32"/>
                <w:szCs w:val="32"/>
              </w:rPr>
              <w:t>编制小组研讨会</w:t>
            </w:r>
          </w:p>
        </w:tc>
        <w:tc>
          <w:tcPr>
            <w:tcW w:w="2949" w:type="dxa"/>
          </w:tcPr>
          <w:p w14:paraId="266DA022">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rPr>
              <w:drawing>
                <wp:anchor distT="0" distB="0" distL="114300" distR="114300" simplePos="0" relativeHeight="251662336" behindDoc="0" locked="0" layoutInCell="1" allowOverlap="1">
                  <wp:simplePos x="0" y="0"/>
                  <wp:positionH relativeFrom="column">
                    <wp:posOffset>10160</wp:posOffset>
                  </wp:positionH>
                  <wp:positionV relativeFrom="paragraph">
                    <wp:posOffset>-1012190</wp:posOffset>
                  </wp:positionV>
                  <wp:extent cx="1697355" cy="1124585"/>
                  <wp:effectExtent l="0" t="0" r="17145" b="18415"/>
                  <wp:wrapTopAndBottom/>
                  <wp:docPr id="5" name="图片 5" descr="宾阳调研与采收标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宾阳调研与采收标准"/>
                          <pic:cNvPicPr>
                            <a:picLocks noChangeAspect="1"/>
                          </pic:cNvPicPr>
                        </pic:nvPicPr>
                        <pic:blipFill>
                          <a:blip r:embed="rId6"/>
                          <a:stretch>
                            <a:fillRect/>
                          </a:stretch>
                        </pic:blipFill>
                        <pic:spPr>
                          <a:xfrm>
                            <a:off x="0" y="0"/>
                            <a:ext cx="1697355" cy="1124585"/>
                          </a:xfrm>
                          <a:prstGeom prst="rect">
                            <a:avLst/>
                          </a:prstGeom>
                        </pic:spPr>
                      </pic:pic>
                    </a:graphicData>
                  </a:graphic>
                </wp:anchor>
              </w:drawing>
            </w:r>
            <w:r>
              <w:rPr>
                <w:rFonts w:hint="eastAsia" w:eastAsia="仿宋_GB2312" w:cs="Times New Roman"/>
                <w:color w:val="auto"/>
                <w:sz w:val="32"/>
                <w:szCs w:val="32"/>
              </w:rPr>
              <w:t>宾阳调研</w:t>
            </w:r>
          </w:p>
        </w:tc>
        <w:tc>
          <w:tcPr>
            <w:tcW w:w="2950" w:type="dxa"/>
          </w:tcPr>
          <w:p w14:paraId="56A500CE">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lang w:val="zh-CN"/>
              </w:rPr>
              <w:drawing>
                <wp:anchor distT="0" distB="0" distL="114300" distR="114300" simplePos="0" relativeHeight="251660288" behindDoc="0" locked="0" layoutInCell="1" allowOverlap="1">
                  <wp:simplePos x="0" y="0"/>
                  <wp:positionH relativeFrom="column">
                    <wp:posOffset>0</wp:posOffset>
                  </wp:positionH>
                  <wp:positionV relativeFrom="paragraph">
                    <wp:posOffset>-1012190</wp:posOffset>
                  </wp:positionV>
                  <wp:extent cx="1518285" cy="1138555"/>
                  <wp:effectExtent l="0" t="0" r="5715" b="4445"/>
                  <wp:wrapTopAndBottom/>
                  <wp:docPr id="3" name="图片 3" descr="马山周鹿镇麻竹种植基地调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马山周鹿镇麻竹种植基地调研"/>
                          <pic:cNvPicPr>
                            <a:picLocks noChangeAspect="1"/>
                          </pic:cNvPicPr>
                        </pic:nvPicPr>
                        <pic:blipFill>
                          <a:blip r:embed="rId7"/>
                          <a:stretch>
                            <a:fillRect/>
                          </a:stretch>
                        </pic:blipFill>
                        <pic:spPr>
                          <a:xfrm>
                            <a:off x="0" y="0"/>
                            <a:ext cx="1518285" cy="1138555"/>
                          </a:xfrm>
                          <a:prstGeom prst="rect">
                            <a:avLst/>
                          </a:prstGeom>
                        </pic:spPr>
                      </pic:pic>
                    </a:graphicData>
                  </a:graphic>
                </wp:anchor>
              </w:drawing>
            </w:r>
            <w:r>
              <w:rPr>
                <w:rFonts w:hint="eastAsia" w:eastAsia="仿宋_GB2312" w:cs="Times New Roman"/>
                <w:color w:val="auto"/>
                <w:sz w:val="32"/>
                <w:szCs w:val="32"/>
              </w:rPr>
              <w:t>马山调研</w:t>
            </w:r>
          </w:p>
        </w:tc>
      </w:tr>
      <w:tr w14:paraId="7F2B2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9" w:type="dxa"/>
          </w:tcPr>
          <w:p w14:paraId="539D0BB6">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lang w:val="zh-CN"/>
              </w:rPr>
              <w:drawing>
                <wp:anchor distT="0" distB="0" distL="114300" distR="114300" simplePos="0" relativeHeight="251661312" behindDoc="0" locked="0" layoutInCell="1" allowOverlap="1">
                  <wp:simplePos x="0" y="0"/>
                  <wp:positionH relativeFrom="column">
                    <wp:posOffset>163195</wp:posOffset>
                  </wp:positionH>
                  <wp:positionV relativeFrom="paragraph">
                    <wp:posOffset>55880</wp:posOffset>
                  </wp:positionV>
                  <wp:extent cx="1517650" cy="1137920"/>
                  <wp:effectExtent l="0" t="0" r="6350" b="5080"/>
                  <wp:wrapTopAndBottom/>
                  <wp:docPr id="2" name="图片 2" descr="横县调研竹笋栽培采收标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横县调研竹笋栽培采收标准"/>
                          <pic:cNvPicPr>
                            <a:picLocks noChangeAspect="1"/>
                          </pic:cNvPicPr>
                        </pic:nvPicPr>
                        <pic:blipFill>
                          <a:blip r:embed="rId8"/>
                          <a:stretch>
                            <a:fillRect/>
                          </a:stretch>
                        </pic:blipFill>
                        <pic:spPr>
                          <a:xfrm>
                            <a:off x="0" y="0"/>
                            <a:ext cx="1517650" cy="1137920"/>
                          </a:xfrm>
                          <a:prstGeom prst="rect">
                            <a:avLst/>
                          </a:prstGeom>
                        </pic:spPr>
                      </pic:pic>
                    </a:graphicData>
                  </a:graphic>
                </wp:anchor>
              </w:drawing>
            </w:r>
            <w:r>
              <w:rPr>
                <w:rFonts w:hint="eastAsia" w:eastAsia="仿宋_GB2312" w:cs="Times New Roman"/>
                <w:color w:val="auto"/>
                <w:sz w:val="32"/>
                <w:szCs w:val="32"/>
              </w:rPr>
              <w:t>横州调研</w:t>
            </w:r>
          </w:p>
        </w:tc>
        <w:tc>
          <w:tcPr>
            <w:tcW w:w="2949" w:type="dxa"/>
          </w:tcPr>
          <w:p w14:paraId="4AD72F84">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lang w:val="en-US" w:eastAsia="zh-CN"/>
              </w:rPr>
            </w:pPr>
            <w:r>
              <w:rPr>
                <w:rFonts w:hint="eastAsia" w:eastAsia="仿宋_GB2312" w:cs="Times New Roman"/>
                <w:color w:val="auto"/>
                <w:sz w:val="32"/>
                <w:szCs w:val="32"/>
                <w:lang w:eastAsia="zh-CN"/>
              </w:rPr>
              <w:drawing>
                <wp:anchor distT="0" distB="0" distL="114300" distR="114300" simplePos="0" relativeHeight="251670528" behindDoc="1" locked="0" layoutInCell="1" allowOverlap="1">
                  <wp:simplePos x="0" y="0"/>
                  <wp:positionH relativeFrom="column">
                    <wp:posOffset>635</wp:posOffset>
                  </wp:positionH>
                  <wp:positionV relativeFrom="paragraph">
                    <wp:posOffset>-1031240</wp:posOffset>
                  </wp:positionV>
                  <wp:extent cx="1716405" cy="1287780"/>
                  <wp:effectExtent l="0" t="0" r="17145" b="7620"/>
                  <wp:wrapTight wrapText="bothSides">
                    <wp:wrapPolygon>
                      <wp:start x="0" y="0"/>
                      <wp:lineTo x="0" y="21408"/>
                      <wp:lineTo x="21336" y="21408"/>
                      <wp:lineTo x="21336" y="0"/>
                      <wp:lineTo x="0" y="0"/>
                    </wp:wrapPolygon>
                  </wp:wrapTight>
                  <wp:docPr id="17" name="图片 17" descr="IMG_20251218_130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0251218_130828"/>
                          <pic:cNvPicPr>
                            <a:picLocks noChangeAspect="1"/>
                          </pic:cNvPicPr>
                        </pic:nvPicPr>
                        <pic:blipFill>
                          <a:blip r:embed="rId9"/>
                          <a:stretch>
                            <a:fillRect/>
                          </a:stretch>
                        </pic:blipFill>
                        <pic:spPr>
                          <a:xfrm>
                            <a:off x="0" y="0"/>
                            <a:ext cx="1716405" cy="1287780"/>
                          </a:xfrm>
                          <a:prstGeom prst="rect">
                            <a:avLst/>
                          </a:prstGeom>
                        </pic:spPr>
                      </pic:pic>
                    </a:graphicData>
                  </a:graphic>
                </wp:anchor>
              </w:drawing>
            </w:r>
            <w:r>
              <w:rPr>
                <w:rFonts w:hint="eastAsia" w:eastAsia="仿宋_GB2312" w:cs="Times New Roman"/>
                <w:color w:val="auto"/>
                <w:sz w:val="32"/>
                <w:szCs w:val="32"/>
                <w:lang w:val="en-US" w:eastAsia="zh-CN"/>
              </w:rPr>
              <w:t>柳州调研</w:t>
            </w:r>
          </w:p>
        </w:tc>
        <w:tc>
          <w:tcPr>
            <w:tcW w:w="2950" w:type="dxa"/>
          </w:tcPr>
          <w:p w14:paraId="3C46B218">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lang w:val="zh-CN"/>
              </w:rPr>
              <w:drawing>
                <wp:anchor distT="0" distB="0" distL="114300" distR="114300" simplePos="0" relativeHeight="251663360" behindDoc="0" locked="0" layoutInCell="1" allowOverlap="1">
                  <wp:simplePos x="0" y="0"/>
                  <wp:positionH relativeFrom="column">
                    <wp:posOffset>0</wp:posOffset>
                  </wp:positionH>
                  <wp:positionV relativeFrom="paragraph">
                    <wp:posOffset>-1012190</wp:posOffset>
                  </wp:positionV>
                  <wp:extent cx="1697355" cy="1188085"/>
                  <wp:effectExtent l="0" t="0" r="17145" b="12065"/>
                  <wp:wrapTopAndBottom/>
                  <wp:docPr id="7" name="图片 7" descr="西乡塘区调研竹笋采收标准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西乡塘区调研竹笋采收标准 (2)"/>
                          <pic:cNvPicPr>
                            <a:picLocks noChangeAspect="1"/>
                          </pic:cNvPicPr>
                        </pic:nvPicPr>
                        <pic:blipFill>
                          <a:blip r:embed="rId10"/>
                          <a:stretch>
                            <a:fillRect/>
                          </a:stretch>
                        </pic:blipFill>
                        <pic:spPr>
                          <a:xfrm>
                            <a:off x="0" y="0"/>
                            <a:ext cx="1697355" cy="1188085"/>
                          </a:xfrm>
                          <a:prstGeom prst="rect">
                            <a:avLst/>
                          </a:prstGeom>
                        </pic:spPr>
                      </pic:pic>
                    </a:graphicData>
                  </a:graphic>
                </wp:anchor>
              </w:drawing>
            </w:r>
            <w:r>
              <w:rPr>
                <w:rFonts w:hint="eastAsia" w:eastAsia="仿宋_GB2312" w:cs="Times New Roman"/>
                <w:color w:val="auto"/>
                <w:sz w:val="32"/>
                <w:szCs w:val="32"/>
              </w:rPr>
              <w:t>西乡塘调研</w:t>
            </w:r>
          </w:p>
        </w:tc>
      </w:tr>
      <w:tr w14:paraId="44756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9" w:type="dxa"/>
          </w:tcPr>
          <w:p w14:paraId="35607B33">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rPr>
              <w:drawing>
                <wp:anchor distT="0" distB="0" distL="114300" distR="114300" simplePos="0" relativeHeight="251665408" behindDoc="0" locked="0" layoutInCell="1" allowOverlap="1">
                  <wp:simplePos x="0" y="0"/>
                  <wp:positionH relativeFrom="column">
                    <wp:posOffset>10160</wp:posOffset>
                  </wp:positionH>
                  <wp:positionV relativeFrom="paragraph">
                    <wp:posOffset>-2021840</wp:posOffset>
                  </wp:positionV>
                  <wp:extent cx="1711960" cy="1297940"/>
                  <wp:effectExtent l="0" t="0" r="2540" b="16510"/>
                  <wp:wrapTopAndBottom/>
                  <wp:docPr id="9" name="图片 9" descr="邕宁区调研竹笋采收标准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邕宁区调研竹笋采收标准 (2)"/>
                          <pic:cNvPicPr>
                            <a:picLocks noChangeAspect="1"/>
                          </pic:cNvPicPr>
                        </pic:nvPicPr>
                        <pic:blipFill>
                          <a:blip r:embed="rId11"/>
                          <a:stretch>
                            <a:fillRect/>
                          </a:stretch>
                        </pic:blipFill>
                        <pic:spPr>
                          <a:xfrm>
                            <a:off x="0" y="0"/>
                            <a:ext cx="1711960" cy="1297940"/>
                          </a:xfrm>
                          <a:prstGeom prst="rect">
                            <a:avLst/>
                          </a:prstGeom>
                        </pic:spPr>
                      </pic:pic>
                    </a:graphicData>
                  </a:graphic>
                </wp:anchor>
              </w:drawing>
            </w:r>
            <w:r>
              <w:rPr>
                <w:rFonts w:hint="eastAsia" w:eastAsia="仿宋_GB2312" w:cs="Times New Roman"/>
                <w:color w:val="auto"/>
                <w:sz w:val="32"/>
                <w:szCs w:val="32"/>
              </w:rPr>
              <w:t>邕宁区调研笋采收</w:t>
            </w:r>
          </w:p>
        </w:tc>
        <w:tc>
          <w:tcPr>
            <w:tcW w:w="2949" w:type="dxa"/>
          </w:tcPr>
          <w:p w14:paraId="51631457">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eastAsia" w:eastAsia="仿宋_GB2312" w:cs="Times New Roman"/>
                <w:color w:val="auto"/>
                <w:sz w:val="32"/>
                <w:szCs w:val="32"/>
              </w:rPr>
              <w:t>邕宁区调研</w:t>
            </w:r>
            <w:r>
              <w:rPr>
                <w:rFonts w:hint="eastAsia" w:eastAsia="仿宋_GB2312" w:cs="Times New Roman"/>
                <w:color w:val="auto"/>
                <w:sz w:val="32"/>
                <w:szCs w:val="32"/>
                <w:lang w:val="zh-CN"/>
              </w:rPr>
              <w:drawing>
                <wp:anchor distT="0" distB="0" distL="114300" distR="114300" simplePos="0" relativeHeight="251664384" behindDoc="0" locked="0" layoutInCell="1" allowOverlap="1">
                  <wp:simplePos x="0" y="0"/>
                  <wp:positionH relativeFrom="column">
                    <wp:posOffset>11430</wp:posOffset>
                  </wp:positionH>
                  <wp:positionV relativeFrom="paragraph">
                    <wp:posOffset>36195</wp:posOffset>
                  </wp:positionV>
                  <wp:extent cx="1697355" cy="1272540"/>
                  <wp:effectExtent l="0" t="0" r="17145" b="3810"/>
                  <wp:wrapTopAndBottom/>
                  <wp:docPr id="8" name="图片 8" descr="邕宁区调研麻竹笋加工酸笋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邕宁区调研麻竹笋加工酸笋 (2)"/>
                          <pic:cNvPicPr>
                            <a:picLocks noChangeAspect="1"/>
                          </pic:cNvPicPr>
                        </pic:nvPicPr>
                        <pic:blipFill>
                          <a:blip r:embed="rId12"/>
                          <a:stretch>
                            <a:fillRect/>
                          </a:stretch>
                        </pic:blipFill>
                        <pic:spPr>
                          <a:xfrm>
                            <a:off x="0" y="0"/>
                            <a:ext cx="1697355" cy="1272540"/>
                          </a:xfrm>
                          <a:prstGeom prst="rect">
                            <a:avLst/>
                          </a:prstGeom>
                        </pic:spPr>
                      </pic:pic>
                    </a:graphicData>
                  </a:graphic>
                </wp:anchor>
              </w:drawing>
            </w:r>
            <w:r>
              <w:rPr>
                <w:rFonts w:hint="eastAsia" w:eastAsia="仿宋_GB2312" w:cs="Times New Roman"/>
                <w:color w:val="auto"/>
                <w:sz w:val="32"/>
                <w:szCs w:val="32"/>
              </w:rPr>
              <w:t>笋加工</w:t>
            </w:r>
          </w:p>
        </w:tc>
        <w:tc>
          <w:tcPr>
            <w:tcW w:w="2950" w:type="dxa"/>
          </w:tcPr>
          <w:p w14:paraId="61102C03">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rPr>
            </w:pPr>
            <w:r>
              <w:rPr>
                <w:rFonts w:hint="default" w:eastAsia="仿宋_GB2312" w:cs="Times New Roman"/>
                <w:color w:val="auto"/>
                <w:sz w:val="32"/>
                <w:szCs w:val="32"/>
              </w:rPr>
              <w:drawing>
                <wp:anchor distT="0" distB="0" distL="114300" distR="114300" simplePos="0" relativeHeight="251666432" behindDoc="0" locked="0" layoutInCell="1" allowOverlap="1">
                  <wp:simplePos x="0" y="0"/>
                  <wp:positionH relativeFrom="column">
                    <wp:posOffset>20320</wp:posOffset>
                  </wp:positionH>
                  <wp:positionV relativeFrom="paragraph">
                    <wp:posOffset>-1009650</wp:posOffset>
                  </wp:positionV>
                  <wp:extent cx="1689735" cy="1267460"/>
                  <wp:effectExtent l="0" t="0" r="5080" b="6350"/>
                  <wp:wrapTopAndBottom/>
                  <wp:docPr id="4" name="图片 4" descr="699099e8b01c8ce066529fdc6c1ae4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699099e8b01c8ce066529fdc6c1ae41a"/>
                          <pic:cNvPicPr>
                            <a:picLocks noChangeAspect="1"/>
                          </pic:cNvPicPr>
                        </pic:nvPicPr>
                        <pic:blipFill>
                          <a:blip r:embed="rId13"/>
                          <a:stretch>
                            <a:fillRect/>
                          </a:stretch>
                        </pic:blipFill>
                        <pic:spPr>
                          <a:xfrm>
                            <a:off x="0" y="0"/>
                            <a:ext cx="1689735" cy="1267460"/>
                          </a:xfrm>
                          <a:prstGeom prst="rect">
                            <a:avLst/>
                          </a:prstGeom>
                        </pic:spPr>
                      </pic:pic>
                    </a:graphicData>
                  </a:graphic>
                </wp:anchor>
              </w:drawing>
            </w:r>
            <w:r>
              <w:rPr>
                <w:rFonts w:hint="eastAsia" w:eastAsia="仿宋_GB2312" w:cs="Times New Roman"/>
                <w:color w:val="auto"/>
                <w:sz w:val="32"/>
                <w:szCs w:val="32"/>
              </w:rPr>
              <w:t>标准制定研讨会</w:t>
            </w:r>
          </w:p>
        </w:tc>
      </w:tr>
      <w:tr w14:paraId="0CE3A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3" w:hRule="atLeast"/>
        </w:trPr>
        <w:tc>
          <w:tcPr>
            <w:tcW w:w="2949" w:type="dxa"/>
          </w:tcPr>
          <w:p w14:paraId="6CA20FC1">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lang w:val="en-US" w:eastAsia="zh-CN"/>
              </w:rPr>
            </w:pPr>
            <w:r>
              <w:rPr>
                <w:rFonts w:hint="eastAsia" w:eastAsia="仿宋_GB2312" w:cs="Times New Roman"/>
                <w:color w:val="auto"/>
                <w:sz w:val="32"/>
                <w:szCs w:val="32"/>
                <w:lang w:eastAsia="zh-CN"/>
              </w:rPr>
              <w:drawing>
                <wp:anchor distT="0" distB="0" distL="114300" distR="114300" simplePos="0" relativeHeight="251667456" behindDoc="0" locked="0" layoutInCell="1" allowOverlap="1">
                  <wp:simplePos x="0" y="0"/>
                  <wp:positionH relativeFrom="column">
                    <wp:posOffset>19050</wp:posOffset>
                  </wp:positionH>
                  <wp:positionV relativeFrom="paragraph">
                    <wp:posOffset>-878840</wp:posOffset>
                  </wp:positionV>
                  <wp:extent cx="1687195" cy="1124585"/>
                  <wp:effectExtent l="0" t="0" r="8255" b="18415"/>
                  <wp:wrapSquare wrapText="bothSides"/>
                  <wp:docPr id="10" name="图片 10" descr="de85648fe3da42a7148a773e657e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e85648fe3da42a7148a773e657e3868"/>
                          <pic:cNvPicPr>
                            <a:picLocks noChangeAspect="1"/>
                          </pic:cNvPicPr>
                        </pic:nvPicPr>
                        <pic:blipFill>
                          <a:blip r:embed="rId14"/>
                          <a:stretch>
                            <a:fillRect/>
                          </a:stretch>
                        </pic:blipFill>
                        <pic:spPr>
                          <a:xfrm>
                            <a:off x="0" y="0"/>
                            <a:ext cx="1687195" cy="1124585"/>
                          </a:xfrm>
                          <a:prstGeom prst="rect">
                            <a:avLst/>
                          </a:prstGeom>
                        </pic:spPr>
                      </pic:pic>
                    </a:graphicData>
                  </a:graphic>
                </wp:anchor>
              </w:drawing>
            </w:r>
            <w:r>
              <w:rPr>
                <w:rFonts w:hint="eastAsia" w:eastAsia="仿宋_GB2312" w:cs="Times New Roman"/>
                <w:color w:val="auto"/>
                <w:sz w:val="32"/>
                <w:szCs w:val="32"/>
                <w:lang w:val="en-US" w:eastAsia="zh-CN"/>
              </w:rPr>
              <w:t>麻竹林</w:t>
            </w:r>
          </w:p>
        </w:tc>
        <w:tc>
          <w:tcPr>
            <w:tcW w:w="2949" w:type="dxa"/>
          </w:tcPr>
          <w:p w14:paraId="0B911532">
            <w:pPr>
              <w:pStyle w:val="9"/>
              <w:keepNext w:val="0"/>
              <w:keepLines w:val="0"/>
              <w:widowControl/>
              <w:suppressLineNumbers w:val="0"/>
              <w:spacing w:before="0" w:beforeAutospacing="0" w:after="0" w:afterAutospacing="0" w:line="520" w:lineRule="exact"/>
              <w:ind w:left="0" w:right="0"/>
              <w:jc w:val="center"/>
              <w:rPr>
                <w:rFonts w:hint="eastAsia" w:eastAsiaTheme="minorEastAsia"/>
                <w:lang w:eastAsia="zh-CN"/>
              </w:rPr>
            </w:pPr>
            <w:r>
              <w:rPr>
                <w:rFonts w:hint="eastAsia" w:eastAsia="仿宋_GB2312" w:cs="Times New Roman"/>
                <w:color w:val="auto"/>
                <w:sz w:val="32"/>
                <w:szCs w:val="32"/>
                <w:lang w:val="en-US" w:eastAsia="zh-CN"/>
              </w:rPr>
              <w:t>麻竹</w:t>
            </w:r>
            <w:r>
              <w:rPr>
                <w:rFonts w:hint="eastAsia" w:eastAsiaTheme="minorEastAsia"/>
                <w:lang w:eastAsia="zh-CN"/>
              </w:rPr>
              <w:drawing>
                <wp:anchor distT="0" distB="0" distL="114300" distR="114300" simplePos="0" relativeHeight="251668480" behindDoc="0" locked="0" layoutInCell="1" allowOverlap="1">
                  <wp:simplePos x="0" y="0"/>
                  <wp:positionH relativeFrom="column">
                    <wp:posOffset>60325</wp:posOffset>
                  </wp:positionH>
                  <wp:positionV relativeFrom="paragraph">
                    <wp:posOffset>40005</wp:posOffset>
                  </wp:positionV>
                  <wp:extent cx="1687195" cy="1124585"/>
                  <wp:effectExtent l="0" t="0" r="8255" b="18415"/>
                  <wp:wrapSquare wrapText="bothSides"/>
                  <wp:docPr id="14" name="图片 14" descr="eaf9ead3379eddb0c0cc1269351319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af9ead3379eddb0c0cc12693513196a"/>
                          <pic:cNvPicPr>
                            <a:picLocks noChangeAspect="1"/>
                          </pic:cNvPicPr>
                        </pic:nvPicPr>
                        <pic:blipFill>
                          <a:blip r:embed="rId15"/>
                          <a:stretch>
                            <a:fillRect/>
                          </a:stretch>
                        </pic:blipFill>
                        <pic:spPr>
                          <a:xfrm>
                            <a:off x="0" y="0"/>
                            <a:ext cx="1687195" cy="1124585"/>
                          </a:xfrm>
                          <a:prstGeom prst="rect">
                            <a:avLst/>
                          </a:prstGeom>
                        </pic:spPr>
                      </pic:pic>
                    </a:graphicData>
                  </a:graphic>
                </wp:anchor>
              </w:drawing>
            </w:r>
          </w:p>
        </w:tc>
        <w:tc>
          <w:tcPr>
            <w:tcW w:w="2950" w:type="dxa"/>
          </w:tcPr>
          <w:p w14:paraId="1309D733">
            <w:pPr>
              <w:pStyle w:val="9"/>
              <w:keepNext w:val="0"/>
              <w:keepLines w:val="0"/>
              <w:widowControl/>
              <w:suppressLineNumbers w:val="0"/>
              <w:spacing w:before="0" w:beforeAutospacing="0" w:after="0" w:afterAutospacing="0" w:line="520" w:lineRule="exact"/>
              <w:ind w:left="0" w:right="0"/>
              <w:jc w:val="center"/>
              <w:rPr>
                <w:rFonts w:hint="eastAsia" w:eastAsia="仿宋_GB2312" w:cs="Times New Roman"/>
                <w:color w:val="auto"/>
                <w:sz w:val="32"/>
                <w:szCs w:val="32"/>
                <w:lang w:eastAsia="zh-CN"/>
              </w:rPr>
            </w:pPr>
            <w:r>
              <w:rPr>
                <w:rFonts w:hint="eastAsia" w:eastAsia="仿宋_GB2312" w:cs="Times New Roman"/>
                <w:color w:val="auto"/>
                <w:sz w:val="32"/>
                <w:szCs w:val="32"/>
                <w:lang w:val="en-US" w:eastAsia="zh-CN"/>
              </w:rPr>
              <w:t>麻竹</w:t>
            </w:r>
            <w:r>
              <w:rPr>
                <w:rFonts w:hint="eastAsia" w:eastAsia="仿宋_GB2312" w:cs="Times New Roman"/>
                <w:color w:val="auto"/>
                <w:sz w:val="32"/>
                <w:szCs w:val="32"/>
                <w:lang w:eastAsia="zh-CN"/>
              </w:rPr>
              <w:drawing>
                <wp:anchor distT="0" distB="0" distL="114300" distR="114300" simplePos="0" relativeHeight="251669504" behindDoc="0" locked="0" layoutInCell="1" allowOverlap="1">
                  <wp:simplePos x="0" y="0"/>
                  <wp:positionH relativeFrom="column">
                    <wp:posOffset>252095</wp:posOffset>
                  </wp:positionH>
                  <wp:positionV relativeFrom="paragraph">
                    <wp:posOffset>69850</wp:posOffset>
                  </wp:positionV>
                  <wp:extent cx="1217930" cy="1091565"/>
                  <wp:effectExtent l="0" t="0" r="1270" b="13335"/>
                  <wp:wrapSquare wrapText="bothSides"/>
                  <wp:docPr id="15" name="图片 15" descr="邕宁区调研竹笋采收标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邕宁区调研竹笋采收标准"/>
                          <pic:cNvPicPr>
                            <a:picLocks noChangeAspect="1"/>
                          </pic:cNvPicPr>
                        </pic:nvPicPr>
                        <pic:blipFill>
                          <a:blip r:embed="rId16"/>
                          <a:stretch>
                            <a:fillRect/>
                          </a:stretch>
                        </pic:blipFill>
                        <pic:spPr>
                          <a:xfrm>
                            <a:off x="0" y="0"/>
                            <a:ext cx="1217930" cy="1091565"/>
                          </a:xfrm>
                          <a:prstGeom prst="rect">
                            <a:avLst/>
                          </a:prstGeom>
                        </pic:spPr>
                      </pic:pic>
                    </a:graphicData>
                  </a:graphic>
                </wp:anchor>
              </w:drawing>
            </w:r>
            <w:r>
              <w:rPr>
                <w:rFonts w:hint="eastAsia" w:eastAsia="仿宋_GB2312" w:cs="Times New Roman"/>
                <w:color w:val="auto"/>
                <w:sz w:val="32"/>
                <w:szCs w:val="32"/>
                <w:lang w:val="en-US" w:eastAsia="zh-CN"/>
              </w:rPr>
              <w:t>采收</w:t>
            </w:r>
          </w:p>
        </w:tc>
      </w:tr>
      <w:tr w14:paraId="6D079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3" w:hRule="atLeast"/>
        </w:trPr>
        <w:tc>
          <w:tcPr>
            <w:tcW w:w="2949" w:type="dxa"/>
          </w:tcPr>
          <w:p w14:paraId="2C37A862">
            <w:pPr>
              <w:pStyle w:val="9"/>
              <w:keepNext w:val="0"/>
              <w:keepLines w:val="0"/>
              <w:widowControl/>
              <w:suppressLineNumbers w:val="0"/>
              <w:spacing w:before="0" w:beforeAutospacing="0" w:after="0" w:afterAutospacing="0" w:line="520" w:lineRule="exact"/>
              <w:ind w:left="0" w:right="0"/>
              <w:jc w:val="center"/>
              <w:rPr>
                <w:rFonts w:hint="default" w:eastAsia="仿宋_GB2312" w:cs="Times New Roman"/>
                <w:color w:val="auto"/>
                <w:sz w:val="32"/>
                <w:szCs w:val="32"/>
                <w:lang w:val="en-US" w:eastAsia="zh-CN"/>
              </w:rPr>
            </w:pPr>
            <w:r>
              <w:rPr>
                <w:rFonts w:hint="eastAsia" w:eastAsia="仿宋_GB2312" w:cs="Times New Roman"/>
                <w:color w:val="auto"/>
                <w:sz w:val="32"/>
                <w:szCs w:val="32"/>
                <w:lang w:eastAsia="zh-CN"/>
              </w:rPr>
              <w:drawing>
                <wp:anchor distT="0" distB="0" distL="114300" distR="114300" simplePos="0" relativeHeight="251671552" behindDoc="0" locked="0" layoutInCell="1" allowOverlap="1">
                  <wp:simplePos x="0" y="0"/>
                  <wp:positionH relativeFrom="column">
                    <wp:posOffset>0</wp:posOffset>
                  </wp:positionH>
                  <wp:positionV relativeFrom="paragraph">
                    <wp:posOffset>-1031240</wp:posOffset>
                  </wp:positionV>
                  <wp:extent cx="1716405" cy="1287780"/>
                  <wp:effectExtent l="0" t="0" r="17145" b="7620"/>
                  <wp:wrapSquare wrapText="bothSides"/>
                  <wp:docPr id="18" name="图片 18" descr="IMG_20250909_12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0250909_122909"/>
                          <pic:cNvPicPr>
                            <a:picLocks noChangeAspect="1"/>
                          </pic:cNvPicPr>
                        </pic:nvPicPr>
                        <pic:blipFill>
                          <a:blip r:embed="rId17"/>
                          <a:stretch>
                            <a:fillRect/>
                          </a:stretch>
                        </pic:blipFill>
                        <pic:spPr>
                          <a:xfrm>
                            <a:off x="0" y="0"/>
                            <a:ext cx="1716405" cy="1287780"/>
                          </a:xfrm>
                          <a:prstGeom prst="rect">
                            <a:avLst/>
                          </a:prstGeom>
                        </pic:spPr>
                      </pic:pic>
                    </a:graphicData>
                  </a:graphic>
                </wp:anchor>
              </w:drawing>
            </w:r>
            <w:r>
              <w:rPr>
                <w:rFonts w:hint="eastAsia" w:eastAsia="仿宋_GB2312" w:cs="Times New Roman"/>
                <w:color w:val="auto"/>
                <w:sz w:val="32"/>
                <w:szCs w:val="32"/>
                <w:lang w:val="en-US" w:eastAsia="zh-CN"/>
              </w:rPr>
              <w:t>百色调研</w:t>
            </w:r>
          </w:p>
        </w:tc>
        <w:tc>
          <w:tcPr>
            <w:tcW w:w="2949" w:type="dxa"/>
          </w:tcPr>
          <w:p w14:paraId="1474E8A0">
            <w:pPr>
              <w:pStyle w:val="9"/>
              <w:keepNext w:val="0"/>
              <w:keepLines w:val="0"/>
              <w:widowControl/>
              <w:suppressLineNumbers w:val="0"/>
              <w:spacing w:before="0" w:beforeAutospacing="0" w:after="0" w:afterAutospacing="0" w:line="520" w:lineRule="exact"/>
              <w:ind w:left="0" w:right="0"/>
              <w:jc w:val="center"/>
              <w:rPr>
                <w:rFonts w:hint="default" w:eastAsiaTheme="minorEastAsia"/>
                <w:lang w:val="en-US" w:eastAsia="zh-CN"/>
              </w:rPr>
            </w:pPr>
            <w:r>
              <w:rPr>
                <w:rFonts w:hint="eastAsia" w:eastAsiaTheme="minorEastAsia"/>
                <w:lang w:eastAsia="zh-CN"/>
              </w:rPr>
              <w:drawing>
                <wp:anchor distT="0" distB="0" distL="114300" distR="114300" simplePos="0" relativeHeight="251672576" behindDoc="0" locked="0" layoutInCell="1" allowOverlap="1">
                  <wp:simplePos x="0" y="0"/>
                  <wp:positionH relativeFrom="column">
                    <wp:posOffset>-8890</wp:posOffset>
                  </wp:positionH>
                  <wp:positionV relativeFrom="paragraph">
                    <wp:posOffset>241300</wp:posOffset>
                  </wp:positionV>
                  <wp:extent cx="1718945" cy="773430"/>
                  <wp:effectExtent l="0" t="0" r="14605" b="7620"/>
                  <wp:wrapSquare wrapText="bothSides"/>
                  <wp:docPr id="19" name="图片 19" descr="84fd2b33a97372acea2e9d7d5fada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4fd2b33a97372acea2e9d7d5fada445"/>
                          <pic:cNvPicPr>
                            <a:picLocks noChangeAspect="1"/>
                          </pic:cNvPicPr>
                        </pic:nvPicPr>
                        <pic:blipFill>
                          <a:blip r:embed="rId18"/>
                          <a:stretch>
                            <a:fillRect/>
                          </a:stretch>
                        </pic:blipFill>
                        <pic:spPr>
                          <a:xfrm>
                            <a:off x="0" y="0"/>
                            <a:ext cx="1718945" cy="773430"/>
                          </a:xfrm>
                          <a:prstGeom prst="rect">
                            <a:avLst/>
                          </a:prstGeom>
                        </pic:spPr>
                      </pic:pic>
                    </a:graphicData>
                  </a:graphic>
                </wp:anchor>
              </w:drawing>
            </w:r>
            <w:r>
              <w:rPr>
                <w:rFonts w:hint="eastAsia"/>
                <w:lang w:val="en-US" w:eastAsia="zh-CN"/>
              </w:rPr>
              <w:t>麻竹种植基地</w:t>
            </w:r>
          </w:p>
        </w:tc>
        <w:tc>
          <w:tcPr>
            <w:tcW w:w="2950" w:type="dxa"/>
          </w:tcPr>
          <w:p w14:paraId="09AD97ED">
            <w:pPr>
              <w:pStyle w:val="9"/>
              <w:keepNext w:val="0"/>
              <w:keepLines w:val="0"/>
              <w:widowControl/>
              <w:suppressLineNumbers w:val="0"/>
              <w:spacing w:before="0" w:beforeAutospacing="0" w:after="0" w:afterAutospacing="0" w:line="520" w:lineRule="exact"/>
              <w:ind w:left="0" w:right="0"/>
              <w:jc w:val="center"/>
              <w:rPr>
                <w:rFonts w:hint="eastAsia" w:eastAsia="仿宋_GB2312" w:cs="Times New Roman"/>
                <w:color w:val="auto"/>
                <w:sz w:val="32"/>
                <w:szCs w:val="32"/>
                <w:lang w:eastAsia="zh-CN"/>
              </w:rPr>
            </w:pPr>
            <w:r>
              <w:rPr>
                <w:rFonts w:hint="eastAsia"/>
                <w:lang w:val="en-US" w:eastAsia="zh-CN"/>
              </w:rPr>
              <w:t>麻竹种植基地</w:t>
            </w:r>
            <w:r>
              <w:rPr>
                <w:rFonts w:hint="default"/>
              </w:rPr>
              <w:drawing>
                <wp:anchor distT="0" distB="0" distL="114300" distR="114300" simplePos="0" relativeHeight="251673600" behindDoc="1" locked="0" layoutInCell="1" allowOverlap="1">
                  <wp:simplePos x="0" y="0"/>
                  <wp:positionH relativeFrom="column">
                    <wp:posOffset>7620</wp:posOffset>
                  </wp:positionH>
                  <wp:positionV relativeFrom="paragraph">
                    <wp:posOffset>73025</wp:posOffset>
                  </wp:positionV>
                  <wp:extent cx="1750695" cy="1149350"/>
                  <wp:effectExtent l="0" t="0" r="0" b="0"/>
                  <wp:wrapTight wrapText="bothSides">
                    <wp:wrapPolygon>
                      <wp:start x="0" y="0"/>
                      <wp:lineTo x="0" y="21123"/>
                      <wp:lineTo x="21388" y="21123"/>
                      <wp:lineTo x="21388" y="0"/>
                      <wp:lineTo x="0" y="0"/>
                    </wp:wrapPolygon>
                  </wp:wrapTight>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19"/>
                          <a:stretch>
                            <a:fillRect/>
                          </a:stretch>
                        </pic:blipFill>
                        <pic:spPr>
                          <a:xfrm>
                            <a:off x="0" y="0"/>
                            <a:ext cx="1750695" cy="1149350"/>
                          </a:xfrm>
                          <a:prstGeom prst="rect">
                            <a:avLst/>
                          </a:prstGeom>
                          <a:noFill/>
                          <a:ln>
                            <a:noFill/>
                          </a:ln>
                        </pic:spPr>
                      </pic:pic>
                    </a:graphicData>
                  </a:graphic>
                </wp:anchor>
              </w:drawing>
            </w:r>
          </w:p>
        </w:tc>
      </w:tr>
    </w:tbl>
    <w:p w14:paraId="16F8D180">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p>
    <w:p w14:paraId="7E742D31">
      <w:pPr>
        <w:pStyle w:val="9"/>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lang w:val="zh-CN"/>
        </w:rPr>
        <w:t>202</w:t>
      </w:r>
      <w:r>
        <w:rPr>
          <w:rFonts w:hint="eastAsia" w:eastAsia="仿宋_GB2312" w:cs="Times New Roman"/>
          <w:color w:val="auto"/>
          <w:sz w:val="32"/>
          <w:szCs w:val="32"/>
          <w:lang w:val="en-US" w:eastAsia="zh-CN"/>
        </w:rPr>
        <w:t>5</w:t>
      </w:r>
      <w:r>
        <w:rPr>
          <w:rFonts w:hint="eastAsia" w:eastAsia="仿宋_GB2312" w:cs="Times New Roman"/>
          <w:color w:val="auto"/>
          <w:sz w:val="32"/>
          <w:szCs w:val="32"/>
          <w:lang w:val="zh-CN"/>
        </w:rPr>
        <w:t>年1</w:t>
      </w:r>
      <w:r>
        <w:rPr>
          <w:rFonts w:hint="eastAsia" w:eastAsia="仿宋_GB2312" w:cs="Times New Roman"/>
          <w:color w:val="auto"/>
          <w:sz w:val="32"/>
          <w:szCs w:val="32"/>
          <w:lang w:val="en-US" w:eastAsia="zh-CN"/>
        </w:rPr>
        <w:t>2</w:t>
      </w:r>
      <w:r>
        <w:rPr>
          <w:rFonts w:hint="eastAsia" w:eastAsia="仿宋_GB2312" w:cs="Times New Roman"/>
          <w:color w:val="auto"/>
          <w:sz w:val="32"/>
          <w:szCs w:val="32"/>
          <w:lang w:val="zh-CN"/>
        </w:rPr>
        <w:t>月</w:t>
      </w:r>
      <w:r>
        <w:rPr>
          <w:rFonts w:hint="eastAsia" w:eastAsia="仿宋_GB2312" w:cs="Times New Roman"/>
          <w:color w:val="auto"/>
          <w:sz w:val="32"/>
          <w:szCs w:val="32"/>
        </w:rPr>
        <w:t>~202</w:t>
      </w:r>
      <w:r>
        <w:rPr>
          <w:rFonts w:hint="eastAsia" w:eastAsia="仿宋_GB2312" w:cs="Times New Roman"/>
          <w:color w:val="auto"/>
          <w:sz w:val="32"/>
          <w:szCs w:val="32"/>
          <w:lang w:val="en-US" w:eastAsia="zh-CN"/>
        </w:rPr>
        <w:t>6</w:t>
      </w:r>
      <w:r>
        <w:rPr>
          <w:rFonts w:hint="eastAsia" w:eastAsia="仿宋_GB2312" w:cs="Times New Roman"/>
          <w:color w:val="auto"/>
          <w:sz w:val="32"/>
          <w:szCs w:val="32"/>
        </w:rPr>
        <w:t>年</w:t>
      </w:r>
      <w:r>
        <w:rPr>
          <w:rFonts w:hint="eastAsia" w:eastAsia="仿宋_GB2312" w:cs="Times New Roman"/>
          <w:color w:val="auto"/>
          <w:sz w:val="32"/>
          <w:szCs w:val="32"/>
          <w:lang w:val="en-US" w:eastAsia="zh-CN"/>
        </w:rPr>
        <w:t>1</w:t>
      </w:r>
      <w:r>
        <w:rPr>
          <w:rFonts w:hint="eastAsia" w:eastAsia="仿宋_GB2312" w:cs="Times New Roman"/>
          <w:color w:val="auto"/>
          <w:sz w:val="32"/>
          <w:szCs w:val="32"/>
        </w:rPr>
        <w:t>月</w:t>
      </w:r>
      <w:r>
        <w:rPr>
          <w:rFonts w:hint="eastAsia" w:eastAsia="仿宋_GB2312" w:cs="Times New Roman"/>
          <w:color w:val="auto"/>
          <w:sz w:val="32"/>
          <w:szCs w:val="32"/>
          <w:lang w:val="zh-CN"/>
        </w:rPr>
        <w:t>，标准编制工作组以草案为基础，提炼核心技术细节，并征求广西壮族自治区林业科学研究院、南宁市老友粉协会、广西标准化协会、广西复记食品科技有限公司、广西穗良甜竹科技有限公司、广西南宁市韩太食品有限责任公司、南宁市武鸣区仙笋农业专业合作社、横州市平朗镇和威麻竹笋加工种植专业合作社、南宁林业发展集团有限责任公司、南宁市食品药品检验所、广西猪霸王餐饮管理有限公司、南宁职业技术大学、南宁市第一职业技术学校、广西职业技术学院、广西工商职业技术学院、广西农业职业技术大学、广西桂小厨餐饮管理有限公司、南宁海关技术中心、广西壮族自治区农业科学院、南宁学院、南宁银河有限责任公司等单位意见，</w:t>
      </w:r>
      <w:r>
        <w:rPr>
          <w:rFonts w:hint="eastAsia" w:eastAsia="仿宋_GB2312" w:cs="Times New Roman"/>
          <w:color w:val="auto"/>
          <w:sz w:val="32"/>
          <w:szCs w:val="32"/>
        </w:rPr>
        <w:t>经起草单位协商一致，确定了苗圃地选择、整地备耕、育苗、苗木出圃等要求</w:t>
      </w:r>
      <w:r>
        <w:rPr>
          <w:rFonts w:hint="eastAsia" w:eastAsia="仿宋_GB2312" w:cs="Times New Roman"/>
          <w:color w:val="auto"/>
          <w:sz w:val="32"/>
          <w:szCs w:val="32"/>
          <w:lang w:val="zh-CN"/>
        </w:rPr>
        <w:t>。标准编制工作组进行调查研究和分析，对标准草案进行反复修改和研究讨论，形成团体标准《南宁老友粉原料  竹笋种苗繁育技术规程》（征求意见稿）和（征求意见稿）编制说明。</w:t>
      </w:r>
    </w:p>
    <w:p w14:paraId="182222D7">
      <w:pPr>
        <w:numPr>
          <w:ilvl w:val="0"/>
          <w:numId w:val="2"/>
        </w:numPr>
        <w:overflowPunct w:val="0"/>
        <w:topLinePunct/>
        <w:spacing w:line="560" w:lineRule="exact"/>
        <w:outlineLvl w:val="0"/>
        <w:rPr>
          <w:rFonts w:eastAsia="黑体"/>
          <w:bCs/>
          <w:color w:val="auto"/>
          <w:sz w:val="32"/>
          <w:szCs w:val="32"/>
        </w:rPr>
      </w:pPr>
      <w:r>
        <w:rPr>
          <w:rFonts w:hint="eastAsia" w:eastAsia="黑体"/>
          <w:bCs/>
          <w:color w:val="auto"/>
          <w:sz w:val="32"/>
          <w:szCs w:val="32"/>
        </w:rPr>
        <w:t>制定标准的原则和依据，与现行</w:t>
      </w:r>
      <w:r>
        <w:rPr>
          <w:rFonts w:hint="eastAsia" w:eastAsia="黑体"/>
          <w:bCs/>
          <w:color w:val="auto"/>
          <w:sz w:val="32"/>
          <w:szCs w:val="32"/>
          <w:lang w:eastAsia="zh-CN"/>
        </w:rPr>
        <w:t>法律法规</w:t>
      </w:r>
      <w:r>
        <w:rPr>
          <w:rFonts w:hint="eastAsia" w:eastAsia="黑体"/>
          <w:bCs/>
          <w:color w:val="auto"/>
          <w:sz w:val="32"/>
          <w:szCs w:val="32"/>
        </w:rPr>
        <w:t>的关系，与有关国家标准、行业标准的协调情况</w:t>
      </w:r>
    </w:p>
    <w:p w14:paraId="709F4BCC">
      <w:pPr>
        <w:pStyle w:val="17"/>
        <w:spacing w:line="560" w:lineRule="exact"/>
        <w:ind w:firstLine="640"/>
        <w:outlineLvl w:val="1"/>
        <w:rPr>
          <w:rFonts w:ascii="Times New Roman" w:hAnsi="Times New Roman" w:eastAsia="楷体_GB2312"/>
          <w:color w:val="auto"/>
          <w:kern w:val="2"/>
          <w:sz w:val="32"/>
          <w:szCs w:val="32"/>
        </w:rPr>
      </w:pPr>
      <w:r>
        <w:rPr>
          <w:rFonts w:ascii="Times New Roman" w:hAnsi="Times New Roman" w:eastAsia="楷体_GB2312"/>
          <w:color w:val="auto"/>
          <w:kern w:val="2"/>
          <w:sz w:val="32"/>
          <w:szCs w:val="32"/>
        </w:rPr>
        <w:t>（一）</w:t>
      </w:r>
      <w:r>
        <w:rPr>
          <w:rFonts w:hint="eastAsia" w:ascii="Times New Roman" w:hAnsi="Times New Roman" w:eastAsia="楷体_GB2312"/>
          <w:color w:val="auto"/>
          <w:kern w:val="2"/>
          <w:sz w:val="32"/>
          <w:szCs w:val="32"/>
        </w:rPr>
        <w:t>编制原则</w:t>
      </w:r>
    </w:p>
    <w:p w14:paraId="2A2BCC12">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1.</w:t>
      </w:r>
      <w:r>
        <w:rPr>
          <w:rFonts w:eastAsia="仿宋_GB2312"/>
          <w:color w:val="auto"/>
          <w:sz w:val="32"/>
          <w:szCs w:val="32"/>
        </w:rPr>
        <w:t>实用性原则</w:t>
      </w:r>
    </w:p>
    <w:p w14:paraId="6D4084DC">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本文件是在充分收集相关资料和文献，调研广西南宁老友粉原料</w:t>
      </w:r>
      <w:r>
        <w:rPr>
          <w:rFonts w:hint="eastAsia" w:eastAsia="仿宋_GB2312"/>
          <w:color w:val="auto"/>
          <w:sz w:val="32"/>
          <w:szCs w:val="32"/>
          <w:lang w:eastAsia="zh-CN"/>
        </w:rPr>
        <w:t>竹笋种苗繁育</w:t>
      </w:r>
      <w:r>
        <w:rPr>
          <w:rFonts w:hint="eastAsia" w:eastAsia="仿宋_GB2312"/>
          <w:color w:val="auto"/>
          <w:sz w:val="32"/>
          <w:szCs w:val="32"/>
        </w:rPr>
        <w:t>等情况，分析南宁老友粉原料</w:t>
      </w:r>
      <w:r>
        <w:rPr>
          <w:rFonts w:hint="eastAsia" w:eastAsia="仿宋_GB2312"/>
          <w:color w:val="auto"/>
          <w:sz w:val="32"/>
          <w:szCs w:val="32"/>
          <w:lang w:eastAsia="zh-CN"/>
        </w:rPr>
        <w:t>竹笋种苗繁育</w:t>
      </w:r>
      <w:r>
        <w:rPr>
          <w:rFonts w:hint="eastAsia" w:eastAsia="仿宋_GB2312"/>
          <w:color w:val="auto"/>
          <w:sz w:val="32"/>
          <w:szCs w:val="32"/>
        </w:rPr>
        <w:t>当前现状，在现有</w:t>
      </w:r>
      <w:r>
        <w:rPr>
          <w:rFonts w:hint="eastAsia" w:eastAsia="仿宋_GB2312" w:cs="Times New Roman"/>
          <w:color w:val="auto"/>
          <w:sz w:val="32"/>
          <w:szCs w:val="32"/>
          <w:lang w:val="zh-CN"/>
        </w:rPr>
        <w:t>竹笋种苗繁育</w:t>
      </w:r>
      <w:r>
        <w:rPr>
          <w:rFonts w:hint="eastAsia" w:eastAsia="仿宋_GB2312"/>
          <w:color w:val="auto"/>
          <w:sz w:val="32"/>
          <w:szCs w:val="32"/>
        </w:rPr>
        <w:t>的基础上，结合南宁市林业科学研究所和广西壮族自治区林业科学研究院等单位多年的研究经验，结合</w:t>
      </w:r>
      <w:r>
        <w:rPr>
          <w:rFonts w:hint="eastAsia" w:eastAsia="仿宋_GB2312" w:cs="Times New Roman"/>
          <w:color w:val="auto"/>
          <w:sz w:val="32"/>
          <w:szCs w:val="32"/>
          <w:lang w:val="zh-CN"/>
        </w:rPr>
        <w:t>南宁万国食品有限公司、广西桂小厨餐饮管理有限公司、南宁银河有限责任公司、南宁市西乡塘区慧姨餐饮店、广西猪霸王餐饮管理有限公司、南宁市友春食品有限公司</w:t>
      </w:r>
      <w:r>
        <w:rPr>
          <w:rFonts w:hint="eastAsia" w:eastAsia="仿宋_GB2312" w:cs="Times New Roman"/>
          <w:color w:val="auto"/>
          <w:sz w:val="32"/>
          <w:szCs w:val="32"/>
        </w:rPr>
        <w:t>等老友粉企业</w:t>
      </w:r>
      <w:r>
        <w:rPr>
          <w:rFonts w:hint="eastAsia" w:eastAsia="仿宋_GB2312" w:cs="Times New Roman"/>
          <w:color w:val="auto"/>
          <w:sz w:val="32"/>
          <w:szCs w:val="32"/>
          <w:lang w:val="en-US" w:eastAsia="zh-CN"/>
        </w:rPr>
        <w:t>对酸笋</w:t>
      </w:r>
      <w:r>
        <w:rPr>
          <w:rFonts w:hint="eastAsia" w:eastAsia="仿宋_GB2312" w:cs="Times New Roman"/>
          <w:color w:val="auto"/>
          <w:sz w:val="32"/>
          <w:szCs w:val="32"/>
        </w:rPr>
        <w:t>的需求情况</w:t>
      </w:r>
      <w:r>
        <w:rPr>
          <w:rFonts w:hint="eastAsia" w:eastAsia="仿宋_GB2312" w:cs="Times New Roman"/>
          <w:color w:val="auto"/>
          <w:sz w:val="32"/>
          <w:szCs w:val="32"/>
          <w:lang w:eastAsia="zh-CN"/>
        </w:rPr>
        <w:t>，</w:t>
      </w:r>
      <w:r>
        <w:rPr>
          <w:rFonts w:hint="eastAsia" w:eastAsia="仿宋_GB2312" w:cs="Times New Roman"/>
          <w:color w:val="auto"/>
          <w:sz w:val="32"/>
          <w:szCs w:val="32"/>
          <w:lang w:val="en-US" w:eastAsia="zh-CN"/>
        </w:rPr>
        <w:t>以及</w:t>
      </w:r>
      <w:r>
        <w:rPr>
          <w:rFonts w:hint="eastAsia" w:eastAsia="仿宋_GB2312" w:cs="Times New Roman"/>
          <w:color w:val="auto"/>
          <w:sz w:val="32"/>
          <w:szCs w:val="32"/>
        </w:rPr>
        <w:t>南宁市林业科学研究所、广西壮族自治区林业科学研究院</w:t>
      </w:r>
      <w:r>
        <w:rPr>
          <w:rFonts w:hint="eastAsia" w:eastAsia="仿宋_GB2312" w:cs="Times New Roman"/>
          <w:color w:val="auto"/>
          <w:sz w:val="32"/>
          <w:szCs w:val="32"/>
          <w:lang w:val="en-US" w:eastAsia="zh-CN"/>
        </w:rPr>
        <w:t>、广西穗良甜竹科技有限公司、广西南宁市韩太食品有限责任公司、南宁市武鸣区仙笋农业专业合作社、横州市平朗镇和威麻竹笋加工种植专业合作社、南宁林业发展集团有限责任公司多年种植经验和总结</w:t>
      </w:r>
      <w:r>
        <w:rPr>
          <w:rFonts w:hint="eastAsia" w:eastAsia="仿宋_GB2312"/>
          <w:color w:val="auto"/>
          <w:sz w:val="32"/>
          <w:szCs w:val="32"/>
        </w:rPr>
        <w:t>起草的，符合当前南宁老友粉原料竹笋产业发展的方向与社会需求，有利于南宁老友粉产业的长远发展，提高南宁老友粉</w:t>
      </w:r>
      <w:r>
        <w:rPr>
          <w:rFonts w:hint="eastAsia" w:eastAsia="仿宋_GB2312"/>
          <w:color w:val="auto"/>
          <w:sz w:val="32"/>
          <w:szCs w:val="32"/>
          <w:lang w:val="en-US" w:eastAsia="zh-CN"/>
        </w:rPr>
        <w:t>风味</w:t>
      </w:r>
      <w:r>
        <w:rPr>
          <w:rFonts w:hint="eastAsia" w:eastAsia="仿宋_GB2312"/>
          <w:color w:val="auto"/>
          <w:sz w:val="32"/>
          <w:szCs w:val="32"/>
        </w:rPr>
        <w:t>品质，提高社会效益</w:t>
      </w:r>
      <w:r>
        <w:rPr>
          <w:rFonts w:eastAsia="仿宋_GB2312"/>
          <w:color w:val="auto"/>
          <w:sz w:val="32"/>
          <w:szCs w:val="32"/>
        </w:rPr>
        <w:t>，</w:t>
      </w:r>
      <w:r>
        <w:rPr>
          <w:rFonts w:hint="eastAsia" w:eastAsia="仿宋_GB2312"/>
          <w:color w:val="auto"/>
          <w:sz w:val="32"/>
          <w:szCs w:val="32"/>
        </w:rPr>
        <w:t>对推动南宁老友粉产业发展具有较强的实用性和可操作性。</w:t>
      </w:r>
    </w:p>
    <w:p w14:paraId="5F35E036">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2.</w:t>
      </w:r>
      <w:r>
        <w:rPr>
          <w:rFonts w:hint="eastAsia" w:eastAsia="仿宋_GB2312"/>
          <w:color w:val="auto"/>
          <w:sz w:val="32"/>
          <w:szCs w:val="32"/>
        </w:rPr>
        <w:t>协调性原则</w:t>
      </w:r>
    </w:p>
    <w:p w14:paraId="30E74DDC">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本文件编写过程中注意了与南宁老友粉原料</w:t>
      </w:r>
      <w:r>
        <w:rPr>
          <w:rFonts w:hint="eastAsia" w:eastAsia="仿宋_GB2312"/>
          <w:color w:val="auto"/>
          <w:sz w:val="32"/>
          <w:szCs w:val="32"/>
          <w:lang w:eastAsia="zh-CN"/>
        </w:rPr>
        <w:t>竹笋种苗繁育</w:t>
      </w:r>
      <w:r>
        <w:rPr>
          <w:rFonts w:hint="eastAsia" w:eastAsia="仿宋_GB2312"/>
          <w:color w:val="auto"/>
          <w:sz w:val="32"/>
          <w:szCs w:val="32"/>
        </w:rPr>
        <w:t>相关法律法规的协调问题，在内容上与现行法律法规、标准协调一致。</w:t>
      </w:r>
    </w:p>
    <w:p w14:paraId="34A2CD62">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3.</w:t>
      </w:r>
      <w:r>
        <w:rPr>
          <w:rFonts w:hint="eastAsia" w:eastAsia="仿宋_GB2312"/>
          <w:color w:val="auto"/>
          <w:sz w:val="32"/>
          <w:szCs w:val="32"/>
        </w:rPr>
        <w:t>规范性原则</w:t>
      </w:r>
    </w:p>
    <w:p w14:paraId="64AE07FC">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本文件严格按照GB/T 1.1—2020《标准化工作导则  第1部分：标准化文件的结构和起草规则》编写本标准的内容，保证标准的编写质量。</w:t>
      </w:r>
    </w:p>
    <w:p w14:paraId="03753128">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4.</w:t>
      </w:r>
      <w:r>
        <w:rPr>
          <w:rFonts w:hint="eastAsia" w:eastAsia="仿宋_GB2312"/>
          <w:color w:val="auto"/>
          <w:sz w:val="32"/>
          <w:szCs w:val="32"/>
        </w:rPr>
        <w:t>前瞻性原则</w:t>
      </w:r>
    </w:p>
    <w:p w14:paraId="41EB8081">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本文件在兼顾当前南宁老友粉原料</w:t>
      </w:r>
      <w:r>
        <w:rPr>
          <w:rFonts w:hint="eastAsia" w:eastAsia="仿宋_GB2312"/>
          <w:color w:val="auto"/>
          <w:sz w:val="32"/>
          <w:szCs w:val="32"/>
          <w:lang w:eastAsia="zh-CN"/>
        </w:rPr>
        <w:t>竹笋种苗繁育</w:t>
      </w:r>
      <w:r>
        <w:rPr>
          <w:rFonts w:hint="eastAsia" w:eastAsia="仿宋_GB2312"/>
          <w:color w:val="auto"/>
          <w:sz w:val="32"/>
          <w:szCs w:val="32"/>
        </w:rPr>
        <w:t>现实情况的同时，还考虑到了南宁老友粉原料竹笋产业发展的趋势和</w:t>
      </w:r>
      <w:r>
        <w:rPr>
          <w:rFonts w:eastAsia="仿宋_GB2312"/>
          <w:color w:val="auto"/>
          <w:sz w:val="32"/>
          <w:szCs w:val="32"/>
        </w:rPr>
        <w:t>结构调整</w:t>
      </w:r>
      <w:r>
        <w:rPr>
          <w:rFonts w:hint="eastAsia" w:eastAsia="仿宋_GB2312"/>
          <w:color w:val="auto"/>
          <w:sz w:val="32"/>
          <w:szCs w:val="32"/>
        </w:rPr>
        <w:t>需要，在标准中体现了个别特色性、前瞻性和实用性条款，作为对南宁老友粉原料竹笋产业发展的指导。</w:t>
      </w:r>
    </w:p>
    <w:p w14:paraId="02ADBED1">
      <w:pPr>
        <w:pStyle w:val="17"/>
        <w:spacing w:line="560" w:lineRule="exact"/>
        <w:ind w:firstLine="640"/>
        <w:outlineLvl w:val="1"/>
        <w:rPr>
          <w:rFonts w:ascii="Times New Roman" w:hAnsi="Times New Roman" w:eastAsia="楷体_GB2312"/>
          <w:color w:val="auto"/>
          <w:kern w:val="2"/>
          <w:sz w:val="32"/>
          <w:szCs w:val="32"/>
        </w:rPr>
      </w:pPr>
      <w:r>
        <w:rPr>
          <w:rFonts w:hint="eastAsia" w:ascii="Times New Roman" w:hAnsi="Times New Roman" w:eastAsia="楷体_GB2312"/>
          <w:color w:val="auto"/>
          <w:kern w:val="2"/>
          <w:sz w:val="32"/>
          <w:szCs w:val="32"/>
        </w:rPr>
        <w:t>（二）编制依据</w:t>
      </w:r>
    </w:p>
    <w:p w14:paraId="5E7E0542">
      <w:pPr>
        <w:pStyle w:val="9"/>
        <w:widowControl/>
        <w:tabs>
          <w:tab w:val="left" w:pos="2268"/>
        </w:tabs>
        <w:spacing w:before="0" w:beforeAutospacing="0" w:after="0" w:afterAutospacing="0" w:line="520" w:lineRule="exact"/>
        <w:ind w:firstLine="640" w:firstLineChars="200"/>
        <w:jc w:val="both"/>
        <w:rPr>
          <w:rFonts w:eastAsia="仿宋_GB2312"/>
          <w:color w:val="auto"/>
          <w:sz w:val="32"/>
          <w:szCs w:val="32"/>
        </w:rPr>
      </w:pPr>
      <w:r>
        <w:rPr>
          <w:rFonts w:eastAsia="仿宋_GB2312"/>
          <w:color w:val="auto"/>
          <w:sz w:val="32"/>
          <w:szCs w:val="32"/>
        </w:rPr>
        <w:t>本标准严格按照GB/T 1.1</w:t>
      </w:r>
      <w:r>
        <w:rPr>
          <w:rFonts w:hint="eastAsia" w:eastAsia="仿宋_GB2312"/>
          <w:color w:val="auto"/>
          <w:sz w:val="32"/>
          <w:szCs w:val="32"/>
        </w:rPr>
        <w:t>-</w:t>
      </w:r>
      <w:r>
        <w:rPr>
          <w:rFonts w:eastAsia="仿宋_GB2312"/>
          <w:color w:val="auto"/>
          <w:sz w:val="32"/>
          <w:szCs w:val="32"/>
        </w:rPr>
        <w:t>2020《标准化工作导则  第1部分：标准化文件的结构和起草规则》的</w:t>
      </w:r>
      <w:r>
        <w:rPr>
          <w:rFonts w:hint="eastAsia" w:eastAsia="仿宋_GB2312"/>
          <w:color w:val="auto"/>
          <w:sz w:val="32"/>
          <w:szCs w:val="32"/>
        </w:rPr>
        <w:t>规则</w:t>
      </w:r>
      <w:r>
        <w:rPr>
          <w:rFonts w:eastAsia="仿宋_GB2312"/>
          <w:color w:val="auto"/>
          <w:sz w:val="32"/>
          <w:szCs w:val="32"/>
        </w:rPr>
        <w:t>起草</w:t>
      </w:r>
      <w:r>
        <w:rPr>
          <w:rFonts w:hint="eastAsia" w:eastAsia="仿宋_GB2312"/>
          <w:color w:val="auto"/>
          <w:sz w:val="32"/>
          <w:szCs w:val="32"/>
        </w:rPr>
        <w:t>，标准主要内容参考</w:t>
      </w:r>
      <w:r>
        <w:rPr>
          <w:rFonts w:hint="eastAsia" w:eastAsia="仿宋_GB2312"/>
          <w:color w:val="auto"/>
          <w:sz w:val="32"/>
          <w:szCs w:val="32"/>
          <w:lang w:eastAsia="zh-CN"/>
        </w:rPr>
        <w:t>《</w:t>
      </w:r>
      <w:r>
        <w:rPr>
          <w:rFonts w:hint="eastAsia" w:eastAsia="仿宋_GB2312"/>
          <w:color w:val="auto"/>
          <w:sz w:val="32"/>
          <w:szCs w:val="32"/>
        </w:rPr>
        <w:t>LY/T 2338  麻竹栽培技术规程</w:t>
      </w:r>
      <w:r>
        <w:rPr>
          <w:rFonts w:hint="eastAsia" w:eastAsia="仿宋_GB2312"/>
          <w:color w:val="auto"/>
          <w:sz w:val="32"/>
          <w:szCs w:val="32"/>
          <w:lang w:eastAsia="zh-CN"/>
        </w:rPr>
        <w:t>》《</w:t>
      </w:r>
      <w:r>
        <w:rPr>
          <w:rFonts w:hint="eastAsia" w:eastAsia="仿宋_GB2312"/>
          <w:color w:val="auto"/>
          <w:sz w:val="32"/>
          <w:szCs w:val="32"/>
        </w:rPr>
        <w:t>T/GXAS 286  柳州螺蛳粉原料  竹笋容器育苗技术规程</w:t>
      </w:r>
      <w:r>
        <w:rPr>
          <w:rFonts w:hint="eastAsia" w:eastAsia="仿宋_GB2312"/>
          <w:color w:val="auto"/>
          <w:sz w:val="32"/>
          <w:szCs w:val="32"/>
          <w:lang w:eastAsia="zh-CN"/>
        </w:rPr>
        <w:t>》《GB 6001  育苗技术规程》《LY/T 1000  容器育苗技术》《DB4418/T  021—2023  西牛麻竹笋种苗繁育技术规程》</w:t>
      </w:r>
      <w:r>
        <w:rPr>
          <w:rFonts w:hint="eastAsia" w:eastAsia="仿宋_GB2312"/>
          <w:color w:val="auto"/>
          <w:sz w:val="32"/>
          <w:szCs w:val="32"/>
        </w:rPr>
        <w:t>等相关</w:t>
      </w:r>
      <w:r>
        <w:rPr>
          <w:rFonts w:eastAsia="仿宋_GB2312"/>
          <w:color w:val="auto"/>
          <w:sz w:val="32"/>
          <w:szCs w:val="32"/>
        </w:rPr>
        <w:t>标准的基础上结合起草单位</w:t>
      </w:r>
      <w:r>
        <w:rPr>
          <w:rFonts w:hint="eastAsia" w:eastAsia="仿宋_GB2312"/>
          <w:color w:val="auto"/>
          <w:sz w:val="32"/>
          <w:szCs w:val="32"/>
        </w:rPr>
        <w:t>生产实际</w:t>
      </w:r>
      <w:r>
        <w:rPr>
          <w:rFonts w:hint="eastAsia" w:eastAsia="仿宋_GB2312"/>
          <w:color w:val="auto"/>
          <w:sz w:val="32"/>
          <w:szCs w:val="32"/>
          <w:lang w:val="en-US" w:eastAsia="zh-CN"/>
        </w:rPr>
        <w:t>生产和试验</w:t>
      </w:r>
      <w:r>
        <w:rPr>
          <w:rFonts w:hint="eastAsia" w:eastAsia="仿宋_GB2312"/>
          <w:color w:val="auto"/>
          <w:sz w:val="32"/>
          <w:szCs w:val="32"/>
        </w:rPr>
        <w:t>，</w:t>
      </w:r>
      <w:r>
        <w:rPr>
          <w:rFonts w:hint="eastAsia" w:eastAsia="仿宋_GB2312"/>
          <w:color w:val="auto"/>
          <w:sz w:val="32"/>
          <w:szCs w:val="32"/>
          <w:lang w:val="en-US" w:eastAsia="zh-CN"/>
        </w:rPr>
        <w:t>并走访了</w:t>
      </w:r>
      <w:r>
        <w:rPr>
          <w:rFonts w:hint="eastAsia" w:eastAsia="仿宋_GB2312"/>
          <w:color w:val="auto"/>
          <w:sz w:val="32"/>
          <w:szCs w:val="32"/>
        </w:rPr>
        <w:t>实地抽样调查竹笋性状，经数据分析、讨论确定。</w:t>
      </w:r>
    </w:p>
    <w:p w14:paraId="239C8AB3">
      <w:pPr>
        <w:pStyle w:val="17"/>
        <w:spacing w:line="560" w:lineRule="exact"/>
        <w:ind w:firstLine="640"/>
        <w:outlineLvl w:val="1"/>
        <w:rPr>
          <w:rFonts w:ascii="Times New Roman" w:hAnsi="Times New Roman" w:eastAsia="楷体_GB2312"/>
          <w:color w:val="auto"/>
          <w:kern w:val="2"/>
          <w:sz w:val="32"/>
          <w:szCs w:val="32"/>
        </w:rPr>
      </w:pPr>
      <w:r>
        <w:rPr>
          <w:rFonts w:hint="eastAsia" w:ascii="Times New Roman" w:hAnsi="Times New Roman" w:eastAsia="楷体_GB2312"/>
          <w:color w:val="auto"/>
          <w:kern w:val="2"/>
          <w:sz w:val="32"/>
          <w:szCs w:val="32"/>
        </w:rPr>
        <w:t>（三）与现行</w:t>
      </w:r>
      <w:r>
        <w:rPr>
          <w:rFonts w:hint="eastAsia" w:ascii="Times New Roman" w:hAnsi="Times New Roman" w:eastAsia="楷体_GB2312"/>
          <w:color w:val="auto"/>
          <w:kern w:val="2"/>
          <w:sz w:val="32"/>
          <w:szCs w:val="32"/>
          <w:lang w:eastAsia="zh-CN"/>
        </w:rPr>
        <w:t>法律法规</w:t>
      </w:r>
      <w:r>
        <w:rPr>
          <w:rFonts w:hint="eastAsia" w:ascii="Times New Roman" w:hAnsi="Times New Roman" w:eastAsia="楷体_GB2312"/>
          <w:color w:val="auto"/>
          <w:kern w:val="2"/>
          <w:sz w:val="32"/>
          <w:szCs w:val="32"/>
        </w:rPr>
        <w:t>的关系，与有关国家标准、行业标准的协调情况</w:t>
      </w:r>
    </w:p>
    <w:p w14:paraId="122C8A56">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经查询，国内暂无“南宁老友粉原料 竹笋种苗繁育技术规程”标准。与“竹笋 种苗培育”“竹笋 繁育”相关标准有</w:t>
      </w:r>
    </w:p>
    <w:p w14:paraId="3088EF77">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《GB/T 30762-2014主要竹笋质量分级》《NY/T 5233-2004无公害食品 竹笋生产技术规程》GB/T 30762-2014毛竹笋栽培技术规程》《LY/T 1834-2014早竹笋用林丰产栽培技术规程》《LY/T 2138-2013早竹笋生产技术规程及产品质量分级》《QB/T 1406-2014竹笋罐头》《LY/T 2624-2016 笋用丛生竹培育技术规程》等。《LYT 2624-2016 笋用丛生竹培育技术规程》本标准规定了笋用丛生竹培育的术语和定义，竹林营造、幼林抚育、成林管理、病虫害防治和竹林减灾等技术内容，适用于我国南方丛生竹笋用林的培育。</w:t>
      </w:r>
    </w:p>
    <w:p w14:paraId="2CA77905">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《DB45/T 302-2024 笋用丛生竹栽培技术规程》《DB45/T 2386-2021麻竹次生枝扦插繁殖技术规程》《DB45/T 302-2005甜竹笋生产技术规程》（上述3项已于2025年8月26日废止）；《DB35/T 569-2004绿竹笋丰产培育技术规程》提供了绿竹笋丰产培育（含竹苗及繁育技术）的参考，但非广西标准，且发布时间较早。《DB4502/T 0041-2022柳州螺蛳粉原料 竹笋种植基地评价规范》《DB4502/T 0040-2022柳州螺蛳粉原料 竹笋种植基地建设规范》《DB4502/T 0002-2022柳州螺蛳粉 原料竹笋生产技术规程》。DB4418/T 021—2023西牛麻竹笋  种苗繁育技术规程本文件规定了西牛麻竹笋种苗繁育产地条件、育苗技术、苗木出圃、生产记录档案，适用于西牛麻竹笋的种苗繁育。</w:t>
      </w:r>
    </w:p>
    <w:p w14:paraId="3F348796">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上述标准侧重栽培与加工，种苗繁育环节相对薄弱，作为产业源头的种苗繁育</w:t>
      </w:r>
      <w:r>
        <w:rPr>
          <w:rFonts w:hint="eastAsia" w:eastAsia="仿宋_GB2312"/>
          <w:color w:val="auto"/>
          <w:sz w:val="32"/>
          <w:szCs w:val="32"/>
          <w:lang w:eastAsia="zh-CN"/>
        </w:rPr>
        <w:t>，</w:t>
      </w:r>
      <w:r>
        <w:rPr>
          <w:rFonts w:hint="eastAsia" w:eastAsia="仿宋_GB2312"/>
          <w:color w:val="auto"/>
          <w:sz w:val="32"/>
          <w:szCs w:val="32"/>
        </w:rPr>
        <w:t>产业发展仍是一个需要填补的细节，南宁市正在大力建设老友粉全产业链标准体系，并明确要补齐从种养操作、原料质量到基地建设与管理等环节的标准短板。同时，政府对原材料示范基地提出了明确的产量和质量要求，虽然已经有了西牛麻竹笋  种苗繁育技术规程，但是南宁老友粉竹笋原料种苗繁育明确了笋种的筛选、高效繁育技术体系，特别是轻基质容器苗这一技术，改善传统黄泥杯苗重量大、肥力低的缺点，能提高竹苗质量，同时减少运输成本。</w:t>
      </w:r>
    </w:p>
    <w:p w14:paraId="631E0EF6">
      <w:pPr>
        <w:overflowPunct w:val="0"/>
        <w:topLinePunct/>
        <w:spacing w:line="560" w:lineRule="exact"/>
        <w:ind w:firstLine="640"/>
        <w:rPr>
          <w:rFonts w:eastAsia="仿宋_GB2312"/>
          <w:color w:val="auto"/>
          <w:sz w:val="32"/>
          <w:szCs w:val="32"/>
        </w:rPr>
      </w:pPr>
    </w:p>
    <w:p w14:paraId="1330E749">
      <w:pPr>
        <w:numPr>
          <w:ilvl w:val="0"/>
          <w:numId w:val="2"/>
        </w:numPr>
        <w:overflowPunct w:val="0"/>
        <w:topLinePunct/>
        <w:spacing w:line="560" w:lineRule="exact"/>
        <w:ind w:left="460"/>
        <w:outlineLvl w:val="0"/>
        <w:rPr>
          <w:rFonts w:eastAsia="黑体"/>
          <w:bCs/>
          <w:color w:val="auto"/>
          <w:sz w:val="32"/>
          <w:szCs w:val="32"/>
        </w:rPr>
        <w:sectPr>
          <w:footerReference r:id="rId3" w:type="default"/>
          <w:type w:val="continuous"/>
          <w:pgSz w:w="11906" w:h="16838"/>
          <w:pgMar w:top="1474" w:right="1800" w:bottom="1474" w:left="1474" w:header="851" w:footer="992" w:gutter="0"/>
          <w:cols w:space="425" w:num="1"/>
          <w:docGrid w:type="lines" w:linePitch="312" w:charSpace="0"/>
        </w:sectPr>
      </w:pPr>
    </w:p>
    <w:p w14:paraId="56258EEB">
      <w:pPr>
        <w:numPr>
          <w:ilvl w:val="0"/>
          <w:numId w:val="2"/>
        </w:numPr>
        <w:overflowPunct w:val="0"/>
        <w:topLinePunct/>
        <w:spacing w:line="560" w:lineRule="exact"/>
        <w:ind w:left="460"/>
        <w:outlineLvl w:val="0"/>
        <w:rPr>
          <w:rFonts w:eastAsia="黑体"/>
          <w:bCs/>
          <w:color w:val="auto"/>
          <w:sz w:val="32"/>
          <w:szCs w:val="32"/>
        </w:rPr>
      </w:pPr>
      <w:r>
        <w:rPr>
          <w:rFonts w:hint="eastAsia" w:eastAsia="黑体"/>
          <w:bCs/>
          <w:color w:val="auto"/>
          <w:sz w:val="32"/>
          <w:szCs w:val="32"/>
        </w:rPr>
        <w:t>主要条款说明</w:t>
      </w:r>
    </w:p>
    <w:p w14:paraId="27B72A2F">
      <w:pPr>
        <w:spacing w:line="560" w:lineRule="exact"/>
        <w:ind w:firstLine="640" w:firstLineChars="200"/>
        <w:outlineLvl w:val="1"/>
        <w:rPr>
          <w:rFonts w:hint="eastAsia" w:eastAsia="仿宋_GB2312" w:cs="Times New Roman"/>
          <w:color w:val="auto"/>
          <w:sz w:val="32"/>
          <w:szCs w:val="32"/>
        </w:rPr>
      </w:pPr>
      <w:r>
        <w:rPr>
          <w:rFonts w:hint="eastAsia" w:eastAsia="仿宋_GB2312" w:cs="Times New Roman"/>
          <w:color w:val="auto"/>
          <w:sz w:val="32"/>
          <w:szCs w:val="32"/>
        </w:rPr>
        <w:t>麻竹（</w:t>
      </w:r>
      <w:r>
        <w:rPr>
          <w:rFonts w:hint="eastAsia" w:eastAsia="仿宋_GB2312" w:cs="Times New Roman"/>
          <w:i w:val="0"/>
          <w:color w:val="auto"/>
          <w:sz w:val="32"/>
          <w:szCs w:val="32"/>
        </w:rPr>
        <w:t>Dendrocalamus latiflorus</w:t>
      </w:r>
      <w:r>
        <w:rPr>
          <w:rFonts w:hint="eastAsia" w:eastAsia="仿宋_GB2312" w:cs="Times New Roman"/>
          <w:color w:val="auto"/>
          <w:sz w:val="32"/>
          <w:szCs w:val="32"/>
        </w:rPr>
        <w:t>）是南宁市重要的笋材两用竹；麻竹的出笋时间长、产量高，其笋是酸笋的主要原材料，人工种植具有较高的经济效益、生态效益与社会效益。2024年南宁市麻竹人工种植面积近4万亩，占南宁市笋用竹人工林的80%以上；为南宁老友粉用量最大的竹笋原料。麻竹笋是制作广西酸笋（用于老友粉）的首选且几乎唯一的商业化大规模使用的笋种。麻竹是大型丛生竹，生长快，产笋量极高，能满足工业化大批量生产的需求。</w:t>
      </w:r>
    </w:p>
    <w:p w14:paraId="3255BBD9">
      <w:pPr>
        <w:spacing w:line="560" w:lineRule="exact"/>
        <w:ind w:firstLine="640" w:firstLineChars="200"/>
        <w:outlineLvl w:val="1"/>
        <w:rPr>
          <w:rFonts w:hint="eastAsia" w:eastAsia="仿宋_GB2312" w:cs="Times New Roman"/>
          <w:color w:val="auto"/>
          <w:sz w:val="32"/>
          <w:szCs w:val="32"/>
        </w:rPr>
      </w:pPr>
      <w:r>
        <w:rPr>
          <w:rFonts w:hint="eastAsia" w:ascii="Times New Roman" w:hAnsi="Times New Roman" w:eastAsia="仿宋_GB2312" w:cs="Times New Roman"/>
          <w:color w:val="auto"/>
          <w:sz w:val="32"/>
          <w:szCs w:val="32"/>
          <w:lang w:val="en-US" w:eastAsia="zh-CN"/>
        </w:rPr>
        <w:t>经过</w:t>
      </w:r>
      <w:r>
        <w:rPr>
          <w:rFonts w:hint="eastAsia" w:eastAsia="仿宋_GB2312" w:cs="Times New Roman"/>
          <w:color w:val="auto"/>
          <w:sz w:val="32"/>
          <w:szCs w:val="32"/>
        </w:rPr>
        <w:t>2016年至20</w:t>
      </w:r>
      <w:r>
        <w:rPr>
          <w:rFonts w:hint="eastAsia" w:ascii="Times New Roman" w:hAnsi="Times New Roman" w:eastAsia="仿宋_GB2312" w:cs="Times New Roman"/>
          <w:color w:val="auto"/>
          <w:sz w:val="32"/>
          <w:szCs w:val="32"/>
          <w:lang w:eastAsia="zh-CN"/>
        </w:rPr>
        <w:t>2</w:t>
      </w:r>
      <w:r>
        <w:rPr>
          <w:rFonts w:hint="eastAsia" w:ascii="Times New Roman" w:hAnsi="Times New Roman" w:eastAsia="仿宋_GB2312" w:cs="Times New Roman"/>
          <w:color w:val="auto"/>
          <w:sz w:val="32"/>
          <w:szCs w:val="32"/>
          <w:lang w:val="en-US" w:eastAsia="zh-CN"/>
        </w:rPr>
        <w:t>5</w:t>
      </w:r>
      <w:r>
        <w:rPr>
          <w:rFonts w:hint="eastAsia" w:eastAsia="仿宋_GB2312" w:cs="Times New Roman"/>
          <w:color w:val="auto"/>
          <w:sz w:val="32"/>
          <w:szCs w:val="32"/>
        </w:rPr>
        <w:t>年，南宁市林科所和广西林科院共同承担的南宁市科技局项目“大型丛生竹优良竹种选择及高效栽培技术研究”（编号：20162322），在</w:t>
      </w:r>
      <w:r>
        <w:rPr>
          <w:rFonts w:hint="eastAsia" w:eastAsia="仿宋_GB2312" w:cs="Times New Roman"/>
          <w:color w:val="auto"/>
          <w:sz w:val="32"/>
          <w:szCs w:val="32"/>
          <w:lang w:eastAsia="zh-CN"/>
        </w:rPr>
        <w:t>项目</w:t>
      </w:r>
      <w:r>
        <w:rPr>
          <w:rFonts w:hint="eastAsia" w:eastAsia="仿宋_GB2312" w:cs="Times New Roman"/>
          <w:color w:val="auto"/>
          <w:sz w:val="32"/>
          <w:szCs w:val="32"/>
        </w:rPr>
        <w:t>实施期间完成了部分研究基础工作，主要如下：（1）共收集了田林麻竹、越南巨竹、马来甜龙竹、勃氏甜龙竹、壮绿竹等竹种21种；（2）进行种苗繁育试验和造林试验，初步总结出一套大型丛生竹竹苗繁育和造林技术规程</w:t>
      </w:r>
      <w:r>
        <w:rPr>
          <w:rFonts w:hint="eastAsia" w:ascii="Times New Roman" w:hAnsi="Times New Roman" w:eastAsia="仿宋_GB2312" w:cs="Times New Roman"/>
          <w:color w:val="auto"/>
          <w:sz w:val="32"/>
          <w:szCs w:val="32"/>
          <w:lang w:eastAsia="zh-CN"/>
        </w:rPr>
        <w:t>；</w:t>
      </w:r>
      <w:r>
        <w:rPr>
          <w:rFonts w:hint="eastAsia" w:eastAsia="仿宋_GB2312" w:cs="Times New Roman"/>
          <w:color w:val="auto"/>
          <w:sz w:val="32"/>
          <w:szCs w:val="32"/>
        </w:rPr>
        <w:t>（3）建立了具有11种笋材两用竹的试验林50亩，至今试验林保存完好，可开展竹笋研究；（4）项目实施期间培育出竹苗10297株，并在南宁市区域内试点推广5个点，营造示范竹丛0.625万丛。</w:t>
      </w:r>
    </w:p>
    <w:p w14:paraId="3F86C5BD">
      <w:pPr>
        <w:spacing w:line="560" w:lineRule="exact"/>
        <w:ind w:firstLine="640" w:firstLineChars="200"/>
        <w:outlineLvl w:val="1"/>
        <w:rPr>
          <w:rFonts w:hint="default" w:ascii="Times New Roman" w:eastAsia="仿宋_GB2312" w:cs="Times New Roman"/>
          <w:b w:val="0"/>
          <w:bCs w:val="0"/>
          <w:color w:val="auto"/>
          <w:sz w:val="32"/>
          <w:szCs w:val="32"/>
        </w:rPr>
      </w:pPr>
      <w:r>
        <w:rPr>
          <w:rFonts w:hint="eastAsia" w:eastAsia="仿宋_GB2312" w:cs="Times New Roman"/>
          <w:color w:val="auto"/>
          <w:sz w:val="32"/>
          <w:szCs w:val="32"/>
        </w:rPr>
        <w:t>通过上述项目的实施，南宁市林科</w:t>
      </w:r>
      <w:r>
        <w:rPr>
          <w:rFonts w:hint="eastAsia" w:ascii="Times New Roman" w:hAnsi="Times New Roman" w:eastAsia="仿宋_GB2312" w:cs="Times New Roman"/>
          <w:color w:val="auto"/>
          <w:sz w:val="32"/>
          <w:szCs w:val="32"/>
          <w:lang w:eastAsia="zh-CN"/>
        </w:rPr>
        <w:t>、</w:t>
      </w:r>
      <w:r>
        <w:rPr>
          <w:rFonts w:hint="eastAsia" w:ascii="Times New Roman" w:hAnsi="Times New Roman" w:eastAsia="仿宋_GB2312" w:cs="Times New Roman"/>
          <w:color w:val="auto"/>
          <w:sz w:val="32"/>
          <w:szCs w:val="32"/>
        </w:rPr>
        <w:t>广西林科院</w:t>
      </w:r>
      <w:r>
        <w:rPr>
          <w:rFonts w:hint="eastAsia" w:ascii="Times New Roman" w:hAnsi="Times New Roman" w:eastAsia="仿宋_GB2312" w:cs="Times New Roman"/>
          <w:color w:val="auto"/>
          <w:sz w:val="32"/>
          <w:szCs w:val="32"/>
          <w:lang w:val="en-US" w:eastAsia="zh-CN"/>
        </w:rPr>
        <w:t>等起草单位</w:t>
      </w:r>
      <w:r>
        <w:rPr>
          <w:rFonts w:hint="eastAsia" w:eastAsia="仿宋_GB2312" w:cs="Times New Roman"/>
          <w:color w:val="auto"/>
          <w:sz w:val="32"/>
          <w:szCs w:val="32"/>
        </w:rPr>
        <w:t>所掌握良好的竹类研究技术，包括育苗技术（笋蔸育苗、枝条育苗），造林技术（笋蔸造林、竹苗造林、枝条扦插造林），以及竹林管理技术（施肥抚育、竹林间伐）；竹子的分类、无性繁殖、丰产栽培、选种育种等方面做了大量的研究。</w:t>
      </w:r>
      <w:r>
        <w:rPr>
          <w:rFonts w:hint="eastAsia" w:ascii="Times New Roman" w:hAnsi="Times New Roman" w:eastAsia="仿宋_GB2312" w:cs="Times New Roman"/>
          <w:color w:val="auto"/>
          <w:sz w:val="32"/>
          <w:szCs w:val="32"/>
          <w:lang w:val="en-US" w:eastAsia="zh-CN"/>
        </w:rPr>
        <w:t>并根据</w:t>
      </w:r>
      <w:r>
        <w:rPr>
          <w:rFonts w:hint="eastAsia" w:eastAsia="仿宋_GB2312"/>
          <w:color w:val="auto"/>
          <w:sz w:val="32"/>
          <w:szCs w:val="32"/>
        </w:rPr>
        <w:t>《南宁市人民政府关于印发促进南宁老友粉产业高质量发展若干措施的通知》（南府规〔2024〕1 号）《南宁市林业局关于加强南宁老友粉原材料（竹笋种植 / 初加工）示范基地建设的指导意见》：明确支持老友粉原材料基地建设，对新认定的竹笋种植示范基地给予1000 元/亩的一次性补贴，加工示范基地按设备投资的 50% 给予补贴（最高 50 万元）。</w:t>
      </w:r>
    </w:p>
    <w:p w14:paraId="70DEAC32">
      <w:pPr>
        <w:spacing w:line="560" w:lineRule="exact"/>
        <w:ind w:firstLine="640" w:firstLineChars="200"/>
        <w:outlineLvl w:val="1"/>
        <w:rPr>
          <w:rFonts w:hint="default" w:ascii="仿宋_GB2312" w:eastAsia="仿宋_GB2312"/>
          <w:b/>
          <w:bCs/>
          <w:color w:val="auto"/>
          <w:sz w:val="32"/>
          <w:szCs w:val="32"/>
          <w:lang w:val="en-US" w:eastAsia="zh-CN"/>
        </w:rPr>
      </w:pPr>
      <w:r>
        <w:rPr>
          <w:rFonts w:hint="eastAsia" w:ascii="Times New Roman" w:eastAsia="仿宋_GB2312"/>
          <w:b w:val="0"/>
          <w:bCs w:val="0"/>
          <w:color w:val="auto"/>
          <w:sz w:val="32"/>
          <w:szCs w:val="32"/>
        </w:rPr>
        <w:t>（一）</w:t>
      </w:r>
      <w:r>
        <w:rPr>
          <w:rFonts w:hint="eastAsia" w:eastAsia="仿宋_GB2312"/>
          <w:color w:val="auto"/>
          <w:sz w:val="32"/>
          <w:szCs w:val="32"/>
          <w:lang w:val="en-US" w:eastAsia="zh-CN"/>
        </w:rPr>
        <w:t>苗圃地选择</w:t>
      </w:r>
    </w:p>
    <w:p w14:paraId="6915FBFC">
      <w:pPr>
        <w:pStyle w:val="15"/>
        <w:spacing w:after="0" w:line="560" w:lineRule="exact"/>
        <w:ind w:firstLine="640" w:firstLineChars="200"/>
        <w:rPr>
          <w:rFonts w:hint="eastAsia" w:ascii="仿宋_GB2312" w:eastAsia="仿宋_GB2312"/>
          <w:bCs/>
          <w:color w:val="auto"/>
        </w:rPr>
      </w:pPr>
      <w:r>
        <w:rPr>
          <w:rFonts w:hint="eastAsia" w:ascii="仿宋_GB2312" w:eastAsia="仿宋_GB2312"/>
          <w:bCs/>
          <w:color w:val="auto"/>
        </w:rPr>
        <w:t>赤壤是南宁地区主要土壤类型，广泛分布于平地和缓坡，土层深厚，排水良好</w:t>
      </w:r>
      <w:r>
        <w:rPr>
          <w:rFonts w:hint="eastAsia" w:ascii="仿宋_GB2312" w:eastAsia="仿宋_GB2312"/>
          <w:bCs/>
          <w:color w:val="auto"/>
          <w:lang w:eastAsia="zh-CN"/>
        </w:rPr>
        <w:t>。</w:t>
      </w:r>
      <w:r>
        <w:rPr>
          <w:rFonts w:hint="eastAsia" w:ascii="仿宋_GB2312" w:eastAsia="仿宋_GB2312"/>
          <w:bCs/>
          <w:color w:val="auto"/>
        </w:rPr>
        <w:t>南宁麻竹扦插育苗试验表明，赤壤地块扦插成活率比粘重土壤高 15%-20%</w:t>
      </w:r>
      <w:r>
        <w:rPr>
          <w:rFonts w:hint="eastAsia" w:ascii="仿宋_GB2312" w:eastAsia="仿宋_GB2312"/>
          <w:bCs/>
          <w:color w:val="auto"/>
          <w:lang w:eastAsia="zh-CN"/>
        </w:rPr>
        <w:t>。</w:t>
      </w:r>
      <w:r>
        <w:rPr>
          <w:rFonts w:hint="eastAsia" w:ascii="仿宋_GB2312" w:eastAsia="仿宋_GB2312"/>
          <w:bCs/>
          <w:color w:val="auto"/>
        </w:rPr>
        <w:t>南宁雨季（4-9 月）降水量大，排水不良地块扦插苗死亡率可达 50% 以上</w:t>
      </w:r>
      <w:r>
        <w:rPr>
          <w:rFonts w:hint="eastAsia" w:ascii="仿宋_GB2312" w:eastAsia="仿宋_GB2312"/>
          <w:bCs/>
          <w:color w:val="auto"/>
          <w:lang w:eastAsia="zh-CN"/>
        </w:rPr>
        <w:t>。</w:t>
      </w:r>
      <w:r>
        <w:rPr>
          <w:rFonts w:hint="eastAsia" w:ascii="仿宋_GB2312" w:eastAsia="仿宋_GB2312"/>
          <w:bCs/>
          <w:color w:val="auto"/>
        </w:rPr>
        <w:t>交通便利便于种苗、投入品运输及竹笋采收后快速转运；水源充足</w:t>
      </w:r>
      <w:r>
        <w:rPr>
          <w:rFonts w:hint="eastAsia" w:ascii="仿宋_GB2312" w:eastAsia="仿宋_GB2312"/>
          <w:bCs/>
          <w:color w:val="auto"/>
          <w:lang w:eastAsia="zh-CN"/>
        </w:rPr>
        <w:t>、</w:t>
      </w:r>
      <w:r>
        <w:rPr>
          <w:rFonts w:hint="eastAsia" w:ascii="仿宋_GB2312" w:eastAsia="仿宋_GB2312"/>
          <w:bCs/>
          <w:color w:val="auto"/>
        </w:rPr>
        <w:t>排灌方便是竹笋生长的基础条件</w:t>
      </w:r>
      <w:r>
        <w:rPr>
          <w:rFonts w:hint="eastAsia" w:ascii="仿宋_GB2312" w:eastAsia="仿宋_GB2312"/>
          <w:bCs/>
          <w:color w:val="auto"/>
          <w:lang w:eastAsia="zh-CN"/>
        </w:rPr>
        <w:t>。覃安定等（2023）研究表明，南宁地区麻竹扦插育苗最适土壤为赤壤，pH 值 5.5-6.5，年均温 20℃以上，年降水量 1200mm 以上，扦插成活率可达 85% 以上。</w:t>
      </w:r>
    </w:p>
    <w:p w14:paraId="7AC8276B">
      <w:pPr>
        <w:pStyle w:val="15"/>
        <w:spacing w:after="0" w:line="560" w:lineRule="exact"/>
        <w:ind w:firstLine="640" w:firstLineChars="200"/>
        <w:rPr>
          <w:rFonts w:hint="eastAsia" w:ascii="仿宋_GB2312" w:eastAsia="仿宋_GB2312"/>
          <w:bCs/>
          <w:color w:val="auto"/>
          <w:lang w:val="en-US" w:eastAsia="zh-CN"/>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48"/>
      </w:tblGrid>
      <w:tr w14:paraId="1A18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48" w:type="dxa"/>
          </w:tcPr>
          <w:p w14:paraId="4041B83E">
            <w:pPr>
              <w:pStyle w:val="15"/>
              <w:keepNext w:val="0"/>
              <w:keepLines w:val="0"/>
              <w:suppressLineNumbers w:val="0"/>
              <w:spacing w:before="0" w:beforeAutospacing="0" w:after="0" w:afterAutospacing="0" w:line="560" w:lineRule="exact"/>
              <w:ind w:left="0" w:right="0"/>
              <w:jc w:val="center"/>
              <w:rPr>
                <w:rFonts w:hint="eastAsia" w:ascii="仿宋_GB2312" w:eastAsia="仿宋_GB2312"/>
                <w:bCs/>
                <w:color w:val="auto"/>
                <w:vertAlign w:val="baseline"/>
                <w:lang w:val="en-US" w:eastAsia="zh-CN"/>
              </w:rPr>
            </w:pPr>
            <w:r>
              <w:rPr>
                <w:rFonts w:hint="eastAsia" w:ascii="仿宋_GB2312" w:eastAsia="仿宋_GB2312"/>
                <w:bCs/>
                <w:color w:val="auto"/>
                <w:sz w:val="21"/>
                <w:szCs w:val="21"/>
                <w:vertAlign w:val="baseline"/>
                <w:lang w:val="en-US" w:eastAsia="zh-CN"/>
              </w:rPr>
              <w:drawing>
                <wp:anchor distT="0" distB="0" distL="114300" distR="114300" simplePos="0" relativeHeight="251674624" behindDoc="0" locked="0" layoutInCell="1" allowOverlap="1">
                  <wp:simplePos x="0" y="0"/>
                  <wp:positionH relativeFrom="column">
                    <wp:posOffset>0</wp:posOffset>
                  </wp:positionH>
                  <wp:positionV relativeFrom="paragraph">
                    <wp:posOffset>-1410970</wp:posOffset>
                  </wp:positionV>
                  <wp:extent cx="5476875" cy="1693545"/>
                  <wp:effectExtent l="0" t="0" r="9525" b="1905"/>
                  <wp:wrapSquare wrapText="bothSides"/>
                  <wp:docPr id="21" name="图片 21" descr="fdb84b0f-06ac-472a-916f-dc2b71d0ff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db84b0f-06ac-472a-916f-dc2b71d0ff2f"/>
                          <pic:cNvPicPr>
                            <a:picLocks noChangeAspect="1"/>
                          </pic:cNvPicPr>
                        </pic:nvPicPr>
                        <pic:blipFill>
                          <a:blip r:embed="rId20"/>
                          <a:stretch>
                            <a:fillRect/>
                          </a:stretch>
                        </pic:blipFill>
                        <pic:spPr>
                          <a:xfrm>
                            <a:off x="0" y="0"/>
                            <a:ext cx="5476875" cy="1693545"/>
                          </a:xfrm>
                          <a:prstGeom prst="rect">
                            <a:avLst/>
                          </a:prstGeom>
                        </pic:spPr>
                      </pic:pic>
                    </a:graphicData>
                  </a:graphic>
                </wp:anchor>
              </w:drawing>
            </w:r>
            <w:r>
              <w:rPr>
                <w:rFonts w:hint="eastAsia" w:ascii="仿宋_GB2312" w:eastAsia="仿宋_GB2312"/>
                <w:bCs/>
                <w:color w:val="auto"/>
                <w:sz w:val="21"/>
                <w:szCs w:val="21"/>
                <w:vertAlign w:val="baseline"/>
                <w:lang w:val="en-US" w:eastAsia="zh-CN"/>
              </w:rPr>
              <w:t>来源：</w:t>
            </w:r>
            <w:r>
              <w:rPr>
                <w:rFonts w:hint="eastAsia" w:ascii="仿宋_GB2312" w:eastAsia="仿宋_GB2312"/>
                <w:bCs/>
                <w:color w:val="auto"/>
                <w:sz w:val="21"/>
                <w:szCs w:val="21"/>
              </w:rPr>
              <w:t>南宁市林业局关于加强南宁老友粉原材料（竹笋种植/初加工）示范基地建设的指导意见（南林规〔2024〕1号）</w:t>
            </w:r>
          </w:p>
        </w:tc>
      </w:tr>
      <w:tr w14:paraId="02A9A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48" w:type="dxa"/>
          </w:tcPr>
          <w:p w14:paraId="221950AB">
            <w:pPr>
              <w:pStyle w:val="15"/>
              <w:keepNext w:val="0"/>
              <w:keepLines w:val="0"/>
              <w:suppressLineNumbers w:val="0"/>
              <w:spacing w:before="0" w:beforeAutospacing="0" w:after="0" w:afterAutospacing="0" w:line="560" w:lineRule="exact"/>
              <w:ind w:left="0" w:right="0"/>
              <w:jc w:val="both"/>
              <w:rPr>
                <w:rFonts w:hint="default" w:ascii="仿宋_GB2312" w:eastAsia="仿宋_GB2312"/>
                <w:bCs/>
                <w:color w:val="auto"/>
                <w:sz w:val="21"/>
                <w:szCs w:val="21"/>
                <w:vertAlign w:val="baseline"/>
                <w:lang w:val="en-US" w:eastAsia="zh-CN"/>
              </w:rPr>
            </w:pPr>
            <w:r>
              <w:rPr>
                <w:rFonts w:hint="eastAsia" w:ascii="仿宋_GB2312" w:eastAsia="仿宋_GB2312"/>
                <w:bCs/>
                <w:color w:val="auto"/>
                <w:sz w:val="21"/>
                <w:szCs w:val="21"/>
                <w:vertAlign w:val="baseline"/>
                <w:lang w:val="en-US" w:eastAsia="zh-CN"/>
              </w:rPr>
              <w:drawing>
                <wp:anchor distT="0" distB="0" distL="114300" distR="114300" simplePos="0" relativeHeight="251676672" behindDoc="1" locked="0" layoutInCell="1" allowOverlap="1">
                  <wp:simplePos x="0" y="0"/>
                  <wp:positionH relativeFrom="column">
                    <wp:posOffset>2939415</wp:posOffset>
                  </wp:positionH>
                  <wp:positionV relativeFrom="paragraph">
                    <wp:posOffset>-612140</wp:posOffset>
                  </wp:positionV>
                  <wp:extent cx="2515235" cy="1590675"/>
                  <wp:effectExtent l="0" t="0" r="0" b="0"/>
                  <wp:wrapTight wrapText="bothSides">
                    <wp:wrapPolygon>
                      <wp:start x="0" y="0"/>
                      <wp:lineTo x="0" y="21471"/>
                      <wp:lineTo x="21431" y="21471"/>
                      <wp:lineTo x="21431" y="0"/>
                      <wp:lineTo x="0" y="0"/>
                    </wp:wrapPolygon>
                  </wp:wrapTight>
                  <wp:docPr id="26" name="图片 26" descr="c1c21dcb-1ac5-46f1-94b8-25b3d7a01e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1c21dcb-1ac5-46f1-94b8-25b3d7a01e4e"/>
                          <pic:cNvPicPr>
                            <a:picLocks noChangeAspect="1"/>
                          </pic:cNvPicPr>
                        </pic:nvPicPr>
                        <pic:blipFill>
                          <a:blip r:embed="rId21"/>
                          <a:stretch>
                            <a:fillRect/>
                          </a:stretch>
                        </pic:blipFill>
                        <pic:spPr>
                          <a:xfrm>
                            <a:off x="0" y="0"/>
                            <a:ext cx="2515235" cy="1590675"/>
                          </a:xfrm>
                          <a:prstGeom prst="rect">
                            <a:avLst/>
                          </a:prstGeom>
                        </pic:spPr>
                      </pic:pic>
                    </a:graphicData>
                  </a:graphic>
                </wp:anchor>
              </w:drawing>
            </w:r>
            <w:r>
              <w:rPr>
                <w:rFonts w:hint="eastAsia" w:ascii="仿宋_GB2312" w:eastAsia="仿宋_GB2312"/>
                <w:bCs/>
                <w:color w:val="auto"/>
                <w:sz w:val="21"/>
                <w:szCs w:val="21"/>
                <w:vertAlign w:val="baseline"/>
                <w:lang w:val="en-US" w:eastAsia="zh-CN"/>
              </w:rPr>
              <w:t>竹笋种植</w:t>
            </w:r>
            <w:r>
              <w:rPr>
                <w:rFonts w:hint="eastAsia" w:ascii="仿宋_GB2312" w:eastAsia="仿宋_GB2312"/>
                <w:bCs/>
                <w:color w:val="auto"/>
                <w:sz w:val="21"/>
                <w:szCs w:val="21"/>
                <w:vertAlign w:val="baseline"/>
                <w:lang w:val="en-US" w:eastAsia="zh-CN"/>
              </w:rPr>
              <w:drawing>
                <wp:anchor distT="0" distB="0" distL="114300" distR="114300" simplePos="0" relativeHeight="251675648" behindDoc="0" locked="0" layoutInCell="1" allowOverlap="1">
                  <wp:simplePos x="0" y="0"/>
                  <wp:positionH relativeFrom="column">
                    <wp:posOffset>0</wp:posOffset>
                  </wp:positionH>
                  <wp:positionV relativeFrom="paragraph">
                    <wp:posOffset>-3258820</wp:posOffset>
                  </wp:positionV>
                  <wp:extent cx="2755265" cy="1778000"/>
                  <wp:effectExtent l="0" t="0" r="6985" b="12700"/>
                  <wp:wrapSquare wrapText="bothSides"/>
                  <wp:docPr id="22" name="图片 22" descr="1d5d7bab-32e2-4d2a-aafc-04fa2a12d5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d5d7bab-32e2-4d2a-aafc-04fa2a12d5e3"/>
                          <pic:cNvPicPr>
                            <a:picLocks noChangeAspect="1"/>
                          </pic:cNvPicPr>
                        </pic:nvPicPr>
                        <pic:blipFill>
                          <a:blip r:embed="rId22"/>
                          <a:stretch>
                            <a:fillRect/>
                          </a:stretch>
                        </pic:blipFill>
                        <pic:spPr>
                          <a:xfrm>
                            <a:off x="0" y="0"/>
                            <a:ext cx="2755265" cy="1778000"/>
                          </a:xfrm>
                          <a:prstGeom prst="rect">
                            <a:avLst/>
                          </a:prstGeom>
                        </pic:spPr>
                      </pic:pic>
                    </a:graphicData>
                  </a:graphic>
                </wp:anchor>
              </w:drawing>
            </w:r>
          </w:p>
        </w:tc>
      </w:tr>
    </w:tbl>
    <w:p w14:paraId="4948A913">
      <w:pPr>
        <w:pStyle w:val="15"/>
        <w:spacing w:after="0" w:line="560" w:lineRule="exact"/>
        <w:ind w:firstLine="640" w:firstLineChars="200"/>
        <w:rPr>
          <w:rFonts w:hint="eastAsia" w:ascii="仿宋_GB2312" w:eastAsia="仿宋_GB2312"/>
          <w:bCs/>
          <w:color w:val="auto"/>
          <w:lang w:val="en-US" w:eastAsia="zh-CN"/>
        </w:rPr>
      </w:pPr>
    </w:p>
    <w:p w14:paraId="31C69EE4">
      <w:pPr>
        <w:pStyle w:val="15"/>
        <w:ind w:firstLine="640" w:firstLineChars="200"/>
        <w:outlineLvl w:val="1"/>
        <w:rPr>
          <w:rFonts w:hint="default" w:ascii="仿宋_GB2312" w:eastAsia="仿宋_GB2312"/>
          <w:b/>
          <w:bCs/>
          <w:color w:val="auto"/>
          <w:sz w:val="32"/>
          <w:szCs w:val="32"/>
          <w:lang w:val="en-US" w:eastAsia="zh-CN"/>
        </w:rPr>
      </w:pPr>
      <w:r>
        <w:rPr>
          <w:rFonts w:hint="eastAsia" w:ascii="Times New Roman" w:eastAsia="仿宋_GB2312"/>
          <w:b w:val="0"/>
          <w:bCs w:val="0"/>
          <w:color w:val="auto"/>
          <w:sz w:val="32"/>
          <w:szCs w:val="32"/>
        </w:rPr>
        <w:t>（二）</w:t>
      </w:r>
      <w:r>
        <w:rPr>
          <w:rFonts w:hint="eastAsia" w:eastAsia="仿宋_GB2312"/>
          <w:color w:val="auto"/>
          <w:lang w:val="en-US" w:eastAsia="zh-CN"/>
        </w:rPr>
        <w:t>整地</w:t>
      </w:r>
    </w:p>
    <w:p w14:paraId="142A2666">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围绕南宁气候土壤特点、笋用竹种苗生理特性、老友粉原料竹笋壮苗繁育需求</w:t>
      </w:r>
      <w:r>
        <w:rPr>
          <w:rFonts w:hint="eastAsia" w:eastAsia="仿宋_GB2312"/>
          <w:color w:val="auto"/>
          <w:sz w:val="32"/>
          <w:szCs w:val="32"/>
          <w:lang w:eastAsia="zh-CN"/>
        </w:rPr>
        <w:t>。</w:t>
      </w:r>
      <w:r>
        <w:rPr>
          <w:rFonts w:hint="eastAsia" w:eastAsia="仿宋_GB2312"/>
          <w:color w:val="auto"/>
          <w:sz w:val="32"/>
          <w:szCs w:val="32"/>
        </w:rPr>
        <w:t>参照 GB/T 6001-2021《育苗技术规程》 中苗圃整地、苗床规格、荫棚搭建的通用技术要求，保证育苗操作规范性。</w:t>
      </w:r>
      <w:r>
        <w:rPr>
          <w:rFonts w:hint="eastAsia" w:eastAsia="仿宋_GB2312"/>
          <w:color w:val="auto"/>
          <w:sz w:val="32"/>
          <w:szCs w:val="32"/>
          <w:lang w:eastAsia="zh-CN"/>
        </w:rPr>
        <w:t>杂草会与竹苗争夺水肥、光照，同时是病虫害中间寄主；石块、树根会阻碍竹笋种苗根系伸展，造成根系畸形、生长受阻。清除杂物可减少苗期竞争，降低病虫基数，保证种苗生长空间。南宁苗圃地多为赤红壤，易板结；笋用竹扦插苗 / 埋秆苗根系集中分布在2</w:t>
      </w:r>
      <w:r>
        <w:rPr>
          <w:rFonts w:hint="eastAsia" w:eastAsia="仿宋_GB2312"/>
          <w:color w:val="auto"/>
          <w:sz w:val="32"/>
          <w:szCs w:val="32"/>
          <w:lang w:val="en-US" w:eastAsia="zh-CN"/>
        </w:rPr>
        <w:t>5</w:t>
      </w:r>
      <w:r>
        <w:rPr>
          <w:rFonts w:hint="eastAsia" w:eastAsia="仿宋_GB2312"/>
          <w:color w:val="auto"/>
          <w:sz w:val="32"/>
          <w:szCs w:val="32"/>
          <w:lang w:eastAsia="zh-CN"/>
        </w:rPr>
        <w:t>～</w:t>
      </w:r>
      <w:r>
        <w:rPr>
          <w:rFonts w:hint="eastAsia" w:eastAsia="仿宋_GB2312"/>
          <w:color w:val="auto"/>
          <w:sz w:val="32"/>
          <w:szCs w:val="32"/>
          <w:lang w:val="en-US" w:eastAsia="zh-CN"/>
        </w:rPr>
        <w:t>3</w:t>
      </w:r>
      <w:r>
        <w:rPr>
          <w:rFonts w:hint="eastAsia" w:eastAsia="仿宋_GB2312"/>
          <w:color w:val="auto"/>
          <w:sz w:val="32"/>
          <w:szCs w:val="32"/>
          <w:lang w:eastAsia="zh-CN"/>
        </w:rPr>
        <w:t>0 cm 土层，此深度深耕可打破犁底层，提升土壤透气性、渗水能力，既有利于根系下扎形成壮苗，又能应对南宁雨季多雨特点，避免根系缺氧腐烂。</w:t>
      </w:r>
    </w:p>
    <w:p w14:paraId="16FCDC10">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lang w:eastAsia="zh-CN"/>
        </w:rPr>
        <w:t>遮光率 50％～60％</w:t>
      </w:r>
      <w:r>
        <w:rPr>
          <w:rFonts w:hint="eastAsia" w:eastAsia="仿宋_GB2312"/>
          <w:color w:val="auto"/>
          <w:sz w:val="32"/>
          <w:szCs w:val="32"/>
          <w:lang w:val="en-US" w:eastAsia="zh-CN"/>
        </w:rPr>
        <w:t>结合</w:t>
      </w:r>
      <w:r>
        <w:rPr>
          <w:rFonts w:hint="eastAsia" w:eastAsia="仿宋_GB2312"/>
          <w:color w:val="auto"/>
          <w:sz w:val="32"/>
          <w:szCs w:val="32"/>
          <w:lang w:eastAsia="zh-CN"/>
        </w:rPr>
        <w:t>竹笋种苗（尤其扦插初期）嫩梢不耐强光直射，南宁光照强、夏季温度高，强光易造成种苗蒸腾失水萎蔫、灼伤死苗；50%～60% 遮光可削弱强光，同时保留足够光照满足光合作用，平衡成活率与生长量。</w:t>
      </w:r>
    </w:p>
    <w:p w14:paraId="0E8378A4">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lang w:eastAsia="zh-CN"/>
        </w:rPr>
        <w:t>棚高 2 m～2.5 m</w:t>
      </w:r>
      <w:r>
        <w:rPr>
          <w:rFonts w:hint="eastAsia" w:eastAsia="仿宋_GB2312"/>
          <w:color w:val="auto"/>
          <w:sz w:val="32"/>
          <w:szCs w:val="32"/>
          <w:lang w:val="en-US" w:eastAsia="zh-CN"/>
        </w:rPr>
        <w:t>为了</w:t>
      </w:r>
      <w:r>
        <w:rPr>
          <w:rFonts w:hint="eastAsia" w:eastAsia="仿宋_GB2312"/>
          <w:color w:val="auto"/>
          <w:sz w:val="32"/>
          <w:szCs w:val="32"/>
          <w:lang w:eastAsia="zh-CN"/>
        </w:rPr>
        <w:t>保证棚内通风顺畅，降低高温高湿环境，减少茎腐病、根腐病发生；同时满足人员直立作业、机具通行的管理需求。</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48"/>
      </w:tblGrid>
      <w:tr w14:paraId="68C19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48" w:type="dxa"/>
          </w:tcPr>
          <w:p w14:paraId="1930AA88">
            <w:pPr>
              <w:keepNext w:val="0"/>
              <w:keepLines w:val="0"/>
              <w:suppressLineNumbers w:val="0"/>
              <w:spacing w:before="0" w:beforeAutospacing="0" w:after="0" w:afterAutospacing="0" w:line="560" w:lineRule="exact"/>
              <w:ind w:left="0" w:right="0"/>
              <w:outlineLvl w:val="1"/>
              <w:rPr>
                <w:rFonts w:hint="eastAsia" w:eastAsia="仿宋_GB2312"/>
                <w:color w:val="auto"/>
                <w:sz w:val="32"/>
                <w:szCs w:val="32"/>
                <w:vertAlign w:val="baseline"/>
                <w:lang w:eastAsia="zh-CN"/>
              </w:rPr>
            </w:pPr>
            <w:r>
              <w:rPr>
                <w:rFonts w:hint="default"/>
              </w:rPr>
              <w:drawing>
                <wp:anchor distT="0" distB="0" distL="114300" distR="114300" simplePos="0" relativeHeight="251681792" behindDoc="0" locked="0" layoutInCell="1" allowOverlap="1">
                  <wp:simplePos x="0" y="0"/>
                  <wp:positionH relativeFrom="column">
                    <wp:posOffset>199390</wp:posOffset>
                  </wp:positionH>
                  <wp:positionV relativeFrom="paragraph">
                    <wp:posOffset>18415</wp:posOffset>
                  </wp:positionV>
                  <wp:extent cx="2228215" cy="1671320"/>
                  <wp:effectExtent l="0" t="0" r="6350" b="1905"/>
                  <wp:wrapTopAndBottom/>
                  <wp:docPr id="6" name="图片 6" descr="IMG_20250519_09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0250519_092747"/>
                          <pic:cNvPicPr>
                            <a:picLocks noChangeAspect="1"/>
                          </pic:cNvPicPr>
                        </pic:nvPicPr>
                        <pic:blipFill>
                          <a:blip r:embed="rId23"/>
                          <a:stretch>
                            <a:fillRect/>
                          </a:stretch>
                        </pic:blipFill>
                        <pic:spPr>
                          <a:xfrm>
                            <a:off x="0" y="0"/>
                            <a:ext cx="2228215" cy="1671320"/>
                          </a:xfrm>
                          <a:prstGeom prst="rect">
                            <a:avLst/>
                          </a:prstGeom>
                        </pic:spPr>
                      </pic:pic>
                    </a:graphicData>
                  </a:graphic>
                </wp:anchor>
              </w:drawing>
            </w:r>
            <w:r>
              <w:rPr>
                <w:rFonts w:hint="default"/>
              </w:rPr>
              <w:drawing>
                <wp:anchor distT="0" distB="0" distL="114300" distR="114300" simplePos="0" relativeHeight="251682816" behindDoc="0" locked="0" layoutInCell="1" allowOverlap="1">
                  <wp:simplePos x="0" y="0"/>
                  <wp:positionH relativeFrom="column">
                    <wp:posOffset>3128010</wp:posOffset>
                  </wp:positionH>
                  <wp:positionV relativeFrom="paragraph">
                    <wp:posOffset>18415</wp:posOffset>
                  </wp:positionV>
                  <wp:extent cx="2195195" cy="1646555"/>
                  <wp:effectExtent l="0" t="0" r="6985" b="5080"/>
                  <wp:wrapTopAndBottom/>
                  <wp:docPr id="11" name="图片 11" descr="IMG_20251218_16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0251218_162742"/>
                          <pic:cNvPicPr>
                            <a:picLocks noChangeAspect="1"/>
                          </pic:cNvPicPr>
                        </pic:nvPicPr>
                        <pic:blipFill>
                          <a:blip r:embed="rId24"/>
                          <a:stretch>
                            <a:fillRect/>
                          </a:stretch>
                        </pic:blipFill>
                        <pic:spPr>
                          <a:xfrm>
                            <a:off x="0" y="0"/>
                            <a:ext cx="2195195" cy="1646555"/>
                          </a:xfrm>
                          <a:prstGeom prst="rect">
                            <a:avLst/>
                          </a:prstGeom>
                        </pic:spPr>
                      </pic:pic>
                    </a:graphicData>
                  </a:graphic>
                </wp:anchor>
              </w:drawing>
            </w:r>
          </w:p>
        </w:tc>
      </w:tr>
    </w:tbl>
    <w:p w14:paraId="2C94BCF1">
      <w:pPr>
        <w:spacing w:line="560" w:lineRule="exact"/>
        <w:ind w:firstLine="640" w:firstLineChars="200"/>
        <w:outlineLvl w:val="1"/>
        <w:rPr>
          <w:rFonts w:hint="eastAsia" w:ascii="Times New Roman" w:eastAsia="仿宋_GB2312"/>
          <w:color w:val="auto"/>
          <w:sz w:val="32"/>
          <w:szCs w:val="32"/>
          <w:lang w:eastAsia="zh-CN"/>
        </w:rPr>
      </w:pPr>
    </w:p>
    <w:p w14:paraId="5B1C059E">
      <w:pPr>
        <w:spacing w:line="560" w:lineRule="exact"/>
        <w:ind w:firstLine="640" w:firstLineChars="200"/>
        <w:outlineLvl w:val="1"/>
        <w:rPr>
          <w:rFonts w:hint="default" w:ascii="仿宋_GB2312" w:eastAsia="仿宋_GB2312"/>
          <w:b/>
          <w:bCs/>
          <w:color w:val="auto"/>
          <w:lang w:val="en-US" w:eastAsia="zh-CN"/>
        </w:rPr>
      </w:pPr>
      <w:r>
        <w:rPr>
          <w:rFonts w:hint="eastAsia" w:ascii="Times New Roman" w:eastAsia="仿宋_GB2312"/>
          <w:b w:val="0"/>
          <w:bCs w:val="0"/>
          <w:color w:val="auto"/>
          <w:sz w:val="32"/>
          <w:szCs w:val="32"/>
        </w:rPr>
        <w:t>（三）</w:t>
      </w:r>
      <w:r>
        <w:rPr>
          <w:rFonts w:hint="eastAsia" w:eastAsia="仿宋_GB2312"/>
          <w:b w:val="0"/>
          <w:bCs w:val="0"/>
          <w:color w:val="auto"/>
          <w:sz w:val="32"/>
          <w:szCs w:val="32"/>
          <w:lang w:val="en-US" w:eastAsia="zh-CN"/>
        </w:rPr>
        <w:t>育苗</w:t>
      </w:r>
    </w:p>
    <w:p w14:paraId="6CEB4540">
      <w:pPr>
        <w:spacing w:line="560" w:lineRule="exact"/>
        <w:ind w:firstLine="640" w:firstLineChars="200"/>
        <w:outlineLvl w:val="1"/>
        <w:rPr>
          <w:rFonts w:hint="default" w:eastAsia="仿宋_GB2312"/>
          <w:b w:val="0"/>
          <w:bCs w:val="0"/>
          <w:color w:val="auto"/>
          <w:sz w:val="32"/>
          <w:szCs w:val="32"/>
          <w:lang w:val="en-US" w:eastAsia="zh-CN"/>
        </w:rPr>
      </w:pPr>
      <w:r>
        <w:rPr>
          <w:rFonts w:hint="eastAsia" w:eastAsia="仿宋_GB2312"/>
          <w:b w:val="0"/>
          <w:bCs w:val="0"/>
          <w:color w:val="auto"/>
          <w:sz w:val="32"/>
          <w:szCs w:val="32"/>
          <w:lang w:val="en-US" w:eastAsia="zh-CN"/>
        </w:rPr>
        <w:t>3.1竹种选择</w:t>
      </w:r>
    </w:p>
    <w:p w14:paraId="2BD7DFA4">
      <w:pPr>
        <w:spacing w:line="560" w:lineRule="exact"/>
        <w:ind w:firstLine="640" w:firstLineChars="200"/>
        <w:outlineLvl w:val="1"/>
        <w:rPr>
          <w:rFonts w:hint="eastAsia" w:eastAsia="仿宋_GB2312"/>
          <w:b w:val="0"/>
          <w:bCs w:val="0"/>
          <w:color w:val="auto"/>
          <w:sz w:val="32"/>
          <w:szCs w:val="32"/>
          <w:lang w:val="en-US" w:eastAsia="zh-CN"/>
        </w:rPr>
      </w:pPr>
      <w:r>
        <w:rPr>
          <w:rFonts w:hint="eastAsia" w:eastAsia="仿宋_GB2312"/>
          <w:b w:val="0"/>
          <w:bCs w:val="0"/>
          <w:color w:val="auto"/>
          <w:sz w:val="32"/>
          <w:szCs w:val="32"/>
          <w:lang w:eastAsia="zh-CN"/>
        </w:rPr>
        <w:t>T/GXAS 1168-2025《南宁老友粉原料 竹笋》明确规定：“可选用麻竹笋、吊丝球竹笋等，优选麻竹笋”。</w:t>
      </w:r>
    </w:p>
    <w:p w14:paraId="4AFADFE6">
      <w:pPr>
        <w:spacing w:line="560" w:lineRule="exact"/>
        <w:ind w:firstLine="640" w:firstLineChars="200"/>
        <w:outlineLvl w:val="1"/>
        <w:rPr>
          <w:rFonts w:hint="eastAsia" w:eastAsia="仿宋_GB2312"/>
          <w:b w:val="0"/>
          <w:bCs w:val="0"/>
          <w:color w:val="auto"/>
          <w:sz w:val="32"/>
          <w:szCs w:val="32"/>
          <w:lang w:val="en-US" w:eastAsia="zh-CN"/>
        </w:rPr>
      </w:pPr>
      <w:r>
        <w:rPr>
          <w:rFonts w:hint="eastAsia" w:eastAsia="仿宋_GB2312"/>
          <w:b w:val="0"/>
          <w:bCs w:val="0"/>
          <w:color w:val="auto"/>
          <w:sz w:val="32"/>
          <w:szCs w:val="32"/>
          <w:lang w:val="en-US" w:eastAsia="zh-CN"/>
        </w:rPr>
        <w:t>3.2育苗时间</w:t>
      </w:r>
    </w:p>
    <w:p w14:paraId="716221F8">
      <w:pPr>
        <w:spacing w:line="560" w:lineRule="exact"/>
        <w:ind w:firstLine="640" w:firstLineChars="200"/>
        <w:outlineLvl w:val="1"/>
        <w:rPr>
          <w:rFonts w:hint="eastAsia" w:eastAsia="仿宋_GB2312"/>
          <w:b w:val="0"/>
          <w:bCs w:val="0"/>
          <w:color w:val="auto"/>
          <w:sz w:val="32"/>
          <w:szCs w:val="32"/>
          <w:lang w:eastAsia="zh-CN"/>
        </w:rPr>
      </w:pPr>
      <w:r>
        <w:rPr>
          <w:rFonts w:hint="eastAsia" w:eastAsia="仿宋_GB2312"/>
          <w:b w:val="0"/>
          <w:bCs w:val="0"/>
          <w:color w:val="auto"/>
          <w:sz w:val="32"/>
          <w:szCs w:val="32"/>
          <w:lang w:val="en-US" w:eastAsia="zh-CN"/>
        </w:rPr>
        <w:t>广西林勘院覃安定对“广西南宁麻竹扦插育苗技术”研究表明：</w:t>
      </w:r>
      <w:r>
        <w:rPr>
          <w:rFonts w:hint="eastAsia" w:ascii="Times New Roman" w:eastAsia="仿宋_GB2312"/>
          <w:b w:val="0"/>
          <w:bCs w:val="0"/>
          <w:color w:val="auto"/>
          <w:sz w:val="32"/>
          <w:szCs w:val="32"/>
          <w:lang w:eastAsia="zh-CN"/>
        </w:rPr>
        <w:t xml:space="preserve">2-3 月扦插成活率达 </w:t>
      </w:r>
      <w:r>
        <w:rPr>
          <w:rFonts w:hint="eastAsia" w:eastAsia="仿宋_GB2312"/>
          <w:b w:val="0"/>
          <w:bCs w:val="0"/>
          <w:color w:val="auto"/>
          <w:sz w:val="32"/>
          <w:szCs w:val="32"/>
          <w:lang w:eastAsia="zh-CN"/>
        </w:rPr>
        <w:t>85%—90%</w:t>
      </w:r>
      <w:r>
        <w:rPr>
          <w:rFonts w:hint="eastAsia" w:ascii="Times New Roman" w:eastAsia="仿宋_GB2312"/>
          <w:b w:val="0"/>
          <w:bCs w:val="0"/>
          <w:color w:val="auto"/>
          <w:sz w:val="32"/>
          <w:szCs w:val="32"/>
          <w:lang w:eastAsia="zh-CN"/>
        </w:rPr>
        <w:t xml:space="preserve">，比 4 月以后高 </w:t>
      </w:r>
      <w:r>
        <w:rPr>
          <w:rFonts w:hint="eastAsia" w:eastAsia="仿宋_GB2312"/>
          <w:b w:val="0"/>
          <w:bCs w:val="0"/>
          <w:color w:val="auto"/>
          <w:sz w:val="32"/>
          <w:szCs w:val="32"/>
          <w:lang w:eastAsia="zh-CN"/>
        </w:rPr>
        <w:t>15%—20%。春季扦插的穗条，一般在20~30 d内可生根，生根后20 d左右可发新笋，而且在9月还可以再次发笋，加上春季主枝营养的积累，为秋季发笋提供了营养，所以春季扦插的新枝数更多；在插穗类型中主干的营养更丰富，因此在二者的作用下，使得插穗新发枝数更多。</w:t>
      </w:r>
    </w:p>
    <w:p w14:paraId="37C7FEA9">
      <w:pPr>
        <w:spacing w:line="560" w:lineRule="exact"/>
        <w:ind w:firstLine="640" w:firstLineChars="200"/>
        <w:outlineLvl w:val="1"/>
        <w:rPr>
          <w:rFonts w:hint="eastAsia" w:eastAsia="仿宋_GB2312"/>
          <w:b w:val="0"/>
          <w:bCs w:val="0"/>
          <w:color w:val="auto"/>
          <w:sz w:val="32"/>
          <w:szCs w:val="32"/>
          <w:lang w:eastAsia="zh-CN"/>
        </w:rPr>
      </w:pPr>
      <w:r>
        <w:rPr>
          <w:rFonts w:hint="eastAsia" w:eastAsia="仿宋_GB2312"/>
          <w:b w:val="0"/>
          <w:bCs w:val="0"/>
          <w:color w:val="auto"/>
          <w:sz w:val="32"/>
          <w:szCs w:val="32"/>
          <w:lang w:eastAsia="zh-CN"/>
        </w:rPr>
        <w:t>容器育苗延后至5月的原因：容器育苗有保护措施，可避免早春低温影响，延后育苗可错峰生产，缓解育苗设施压力，同时 5 月气温更稳定，适合容器苗快速生长。</w:t>
      </w:r>
    </w:p>
    <w:p w14:paraId="5B282BA0">
      <w:pPr>
        <w:spacing w:line="560" w:lineRule="exact"/>
        <w:ind w:firstLine="640" w:firstLineChars="200"/>
        <w:outlineLvl w:val="1"/>
        <w:rPr>
          <w:rFonts w:hint="eastAsia" w:eastAsia="仿宋_GB2312"/>
          <w:b w:val="0"/>
          <w:bCs w:val="0"/>
          <w:color w:val="auto"/>
          <w:sz w:val="32"/>
          <w:szCs w:val="32"/>
          <w:lang w:eastAsia="zh-CN"/>
        </w:rPr>
      </w:pPr>
    </w:p>
    <w:p w14:paraId="7B043764">
      <w:pPr>
        <w:spacing w:line="560" w:lineRule="exact"/>
        <w:ind w:firstLine="640" w:firstLineChars="200"/>
        <w:outlineLvl w:val="1"/>
        <w:rPr>
          <w:rFonts w:hint="default" w:eastAsia="仿宋_GB2312"/>
          <w:b w:val="0"/>
          <w:bCs w:val="0"/>
          <w:color w:val="auto"/>
          <w:sz w:val="32"/>
          <w:szCs w:val="32"/>
          <w:lang w:val="en-US" w:eastAsia="zh-CN"/>
        </w:rPr>
      </w:pPr>
      <w:r>
        <w:rPr>
          <w:rFonts w:hint="eastAsia" w:eastAsia="仿宋_GB2312"/>
          <w:b w:val="0"/>
          <w:bCs w:val="0"/>
          <w:color w:val="auto"/>
          <w:sz w:val="32"/>
          <w:szCs w:val="32"/>
          <w:lang w:val="en-US" w:eastAsia="zh-CN"/>
        </w:rPr>
        <w:t>3.3插穗选择</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48"/>
      </w:tblGrid>
      <w:tr w14:paraId="07A6B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48" w:type="dxa"/>
          </w:tcPr>
          <w:p w14:paraId="52574356">
            <w:pPr>
              <w:keepNext w:val="0"/>
              <w:keepLines w:val="0"/>
              <w:suppressLineNumbers w:val="0"/>
              <w:spacing w:before="0" w:beforeAutospacing="0" w:after="0" w:afterAutospacing="0" w:line="560" w:lineRule="exact"/>
              <w:ind w:left="0" w:right="0"/>
              <w:outlineLvl w:val="1"/>
              <w:rPr>
                <w:rFonts w:hint="eastAsia" w:ascii="Times New Roman" w:eastAsia="仿宋_GB2312"/>
                <w:b w:val="0"/>
                <w:bCs w:val="0"/>
                <w:color w:val="auto"/>
                <w:sz w:val="32"/>
                <w:szCs w:val="32"/>
                <w:vertAlign w:val="baseline"/>
              </w:rPr>
            </w:pPr>
            <w:r>
              <w:rPr>
                <w:rFonts w:hint="eastAsia" w:ascii="Times New Roman" w:eastAsia="仿宋_GB2312"/>
                <w:b w:val="0"/>
                <w:bCs w:val="0"/>
                <w:color w:val="auto"/>
                <w:sz w:val="32"/>
                <w:szCs w:val="32"/>
                <w:lang w:eastAsia="zh-CN"/>
              </w:rPr>
              <w:drawing>
                <wp:anchor distT="0" distB="0" distL="114300" distR="114300" simplePos="0" relativeHeight="251683840" behindDoc="0" locked="0" layoutInCell="1" allowOverlap="1">
                  <wp:simplePos x="0" y="0"/>
                  <wp:positionH relativeFrom="column">
                    <wp:posOffset>695960</wp:posOffset>
                  </wp:positionH>
                  <wp:positionV relativeFrom="paragraph">
                    <wp:posOffset>175895</wp:posOffset>
                  </wp:positionV>
                  <wp:extent cx="4255135" cy="2277745"/>
                  <wp:effectExtent l="0" t="0" r="8890" b="0"/>
                  <wp:wrapTopAndBottom/>
                  <wp:docPr id="13" name="图片 13" descr="83714dd4ecf31cac917f4a42ccf965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83714dd4ecf31cac917f4a42ccf9656b"/>
                          <pic:cNvPicPr>
                            <a:picLocks noChangeAspect="1"/>
                          </pic:cNvPicPr>
                        </pic:nvPicPr>
                        <pic:blipFill>
                          <a:blip r:embed="rId25"/>
                          <a:stretch>
                            <a:fillRect/>
                          </a:stretch>
                        </pic:blipFill>
                        <pic:spPr>
                          <a:xfrm>
                            <a:off x="0" y="0"/>
                            <a:ext cx="4255135" cy="2277745"/>
                          </a:xfrm>
                          <a:prstGeom prst="rect">
                            <a:avLst/>
                          </a:prstGeom>
                        </pic:spPr>
                      </pic:pic>
                    </a:graphicData>
                  </a:graphic>
                </wp:anchor>
              </w:drawing>
            </w:r>
          </w:p>
        </w:tc>
      </w:tr>
    </w:tbl>
    <w:p w14:paraId="6096BCA1">
      <w:pPr>
        <w:spacing w:line="560" w:lineRule="exact"/>
        <w:ind w:firstLine="640" w:firstLineChars="200"/>
        <w:outlineLvl w:val="1"/>
        <w:rPr>
          <w:rFonts w:hint="eastAsia" w:ascii="Times New Roman" w:eastAsia="仿宋_GB2312"/>
          <w:b w:val="0"/>
          <w:bCs w:val="0"/>
          <w:color w:val="auto"/>
          <w:sz w:val="32"/>
          <w:szCs w:val="32"/>
          <w:lang w:eastAsia="zh-CN"/>
        </w:rPr>
      </w:pPr>
      <w:r>
        <w:rPr>
          <w:rFonts w:hint="eastAsia" w:eastAsia="仿宋_GB2312"/>
          <w:b w:val="0"/>
          <w:bCs w:val="0"/>
          <w:color w:val="auto"/>
          <w:sz w:val="32"/>
          <w:szCs w:val="32"/>
          <w:lang w:val="en-US" w:eastAsia="zh-CN"/>
        </w:rPr>
        <w:t>枝条插穗：1</w:t>
      </w:r>
      <w:r>
        <w:rPr>
          <w:rFonts w:hint="eastAsia" w:eastAsia="仿宋_GB2312"/>
          <w:color w:val="auto"/>
          <w:sz w:val="32"/>
          <w:szCs w:val="32"/>
        </w:rPr>
        <w:t>年生枝条分生组织活性最强、养分积累充足、木质化程度适中，萌芽生根能力最优；低于 1 年生嫩枝易失水腐烂，多年生枝条木质化严重、隐芽老化，生根成活率大幅下降，是丛生竹扦插育苗的通用最优枝龄。隐芽是种苗萌芽成株的基础，根点外露可直接快速生根，大幅缩短缓苗期；枝蔸完整无损伤可防止南宁高温高湿环境下病菌侵入、切口腐烂，避免插穗因感染坏死，是保障扦插成活的关键形态指标。新鲜鲜绿表明插穗无失水、无霉变，生理活性充足；基径≥1.8 cm 可保证插穗养分储存量足够支撑萌芽、生根全过程，细弱枝条养分匮乏，会出现萌芽后枯萎、生根迟缓等问题。剪除侧枝可减少养分无效消耗，集中供给主枝萌芽生根；削除枝梢能降低蒸腾失水，适配南宁光照强、蒸发量大的气候；保留 2～4 节既保证充足有效芽眼，又避免芽眼过多导致养分分散，同时契合苗圃扦插深度要求。广西</w:t>
      </w:r>
      <w:r>
        <w:rPr>
          <w:rFonts w:hint="eastAsia" w:eastAsia="仿宋_GB2312"/>
          <w:color w:val="auto"/>
          <w:sz w:val="32"/>
          <w:szCs w:val="32"/>
          <w:lang w:val="en-US" w:eastAsia="zh-CN"/>
        </w:rPr>
        <w:t>林勘院</w:t>
      </w:r>
      <w:r>
        <w:rPr>
          <w:rFonts w:hint="eastAsia" w:eastAsia="仿宋_GB2312"/>
          <w:color w:val="auto"/>
          <w:sz w:val="32"/>
          <w:szCs w:val="32"/>
        </w:rPr>
        <w:t>麻竹扦插对比试验证实，1 年生、基径≥1.8 cm、带根点枝条成活率较不合格插穗高 35% 以上</w:t>
      </w:r>
      <w:r>
        <w:rPr>
          <w:rFonts w:hint="eastAsia" w:eastAsia="仿宋_GB2312"/>
          <w:color w:val="auto"/>
          <w:sz w:val="32"/>
          <w:szCs w:val="32"/>
          <w:lang w:eastAsia="zh-CN"/>
        </w:rPr>
        <w:t>。</w:t>
      </w:r>
    </w:p>
    <w:p w14:paraId="03E38058">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母竹插穗（埋秆育苗）</w:t>
      </w:r>
      <w:r>
        <w:rPr>
          <w:rFonts w:hint="eastAsia" w:eastAsia="仿宋_GB2312"/>
          <w:color w:val="auto"/>
          <w:sz w:val="32"/>
          <w:szCs w:val="32"/>
          <w:lang w:eastAsia="zh-CN"/>
        </w:rPr>
        <w:t>：</w:t>
      </w:r>
      <w:r>
        <w:rPr>
          <w:rFonts w:hint="eastAsia" w:eastAsia="仿宋_GB2312"/>
          <w:color w:val="auto"/>
          <w:sz w:val="32"/>
          <w:szCs w:val="32"/>
        </w:rPr>
        <w:t>1～2 年生竹秆芽眼饱满、</w:t>
      </w:r>
      <w:r>
        <w:rPr>
          <w:rFonts w:hint="eastAsia" w:eastAsia="仿宋_GB2312"/>
          <w:color w:val="auto"/>
          <w:sz w:val="32"/>
          <w:szCs w:val="32"/>
          <w:lang w:eastAsia="zh-CN"/>
        </w:rPr>
        <w:t>生命力</w:t>
      </w:r>
      <w:r>
        <w:rPr>
          <w:rFonts w:hint="eastAsia" w:eastAsia="仿宋_GB2312"/>
          <w:color w:val="auto"/>
          <w:sz w:val="32"/>
          <w:szCs w:val="32"/>
        </w:rPr>
        <w:t>强、养分含量高，是埋秆育苗最优秆龄；过老竹秆芽眼退化、生根困难，过嫩竹秆易腐烂；直径3 cm～5 cm为适宜粗度，养分储存适中，既便于田间埋秆操作，又能保证萌芽所需养分，过粗笨重难操作、过细养分不足。竹箨包裹可减少水分蒸发、阻挡雨水病菌侵染，适配南宁多雨高湿环境，防止埋秆后霉变腐烂，提升埋秆成活率</w:t>
      </w:r>
      <w:r>
        <w:rPr>
          <w:rFonts w:hint="eastAsia" w:eastAsia="仿宋_GB2312"/>
          <w:color w:val="auto"/>
          <w:sz w:val="32"/>
          <w:szCs w:val="32"/>
          <w:lang w:eastAsia="zh-CN"/>
        </w:rPr>
        <w:t>。</w:t>
      </w:r>
      <w:r>
        <w:rPr>
          <w:rFonts w:hint="eastAsia" w:eastAsia="仿宋_GB2312"/>
          <w:color w:val="auto"/>
          <w:sz w:val="32"/>
          <w:szCs w:val="32"/>
        </w:rPr>
        <w:t>保留母竹竹蔸可使其继续发笋成竹，实现笋用林可持续利用，避免一次性采伐导致竹林衰退，符合南宁老友粉原料笋林长期经营需求。LY/T 2624-2016《笋用丛生竹培育技术规程》埋秆育苗母竹选择、留秆长度、留芽数量技术要求；地方试验：广西、南宁林业技术推广中心埋秆育苗试验数据，1～2年生、3 cm～5 cm粗、留2～3芽处理成活率最高</w:t>
      </w:r>
      <w:r>
        <w:rPr>
          <w:rFonts w:hint="eastAsia" w:eastAsia="仿宋_GB2312"/>
          <w:color w:val="auto"/>
          <w:sz w:val="32"/>
          <w:szCs w:val="32"/>
          <w:lang w:eastAsia="zh-CN"/>
        </w:rPr>
        <w:t>。</w:t>
      </w:r>
    </w:p>
    <w:p w14:paraId="054AD21E">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笋蔸插穗</w:t>
      </w:r>
      <w:r>
        <w:rPr>
          <w:rFonts w:hint="eastAsia" w:eastAsia="仿宋_GB2312"/>
          <w:color w:val="auto"/>
          <w:sz w:val="32"/>
          <w:szCs w:val="32"/>
          <w:lang w:eastAsia="zh-CN"/>
        </w:rPr>
        <w:t>：1 年生笋蔸分生能力、萌芽生根能力最强，是南宁地区高效育苗方式，成苗速度快、种苗健壮，可快速满足老友粉原料竹笋种植的种苗需求。</w:t>
      </w:r>
      <w:r>
        <w:rPr>
          <w:rFonts w:hint="eastAsia" w:eastAsia="仿宋_GB2312"/>
          <w:color w:val="auto"/>
          <w:sz w:val="32"/>
          <w:szCs w:val="32"/>
        </w:rPr>
        <w:t>保留2～3节保证有效笋芽数量；马耳形切口增大愈合与生根面积、减少积水，避免南宁雨季切口积水腐烂，同时利于养分疏导。广西林科院笋蔸育苗专项试验，1年生、笋壳完整、单芽萌发笋蔸成苗率可达90% 以上</w:t>
      </w:r>
      <w:r>
        <w:rPr>
          <w:rFonts w:hint="eastAsia" w:eastAsia="仿宋_GB2312"/>
          <w:color w:val="auto"/>
          <w:sz w:val="32"/>
          <w:szCs w:val="32"/>
          <w:lang w:eastAsia="zh-CN"/>
        </w:rPr>
        <w:t>。</w:t>
      </w:r>
    </w:p>
    <w:p w14:paraId="0B56F60D">
      <w:pPr>
        <w:spacing w:line="560" w:lineRule="exact"/>
        <w:ind w:firstLine="640" w:firstLineChars="200"/>
        <w:outlineLvl w:val="1"/>
        <w:rPr>
          <w:rFonts w:hint="eastAsia" w:eastAsia="仿宋_GB2312"/>
          <w:color w:val="auto"/>
          <w:sz w:val="32"/>
          <w:szCs w:val="32"/>
          <w:lang w:eastAsia="zh-CN"/>
        </w:rPr>
      </w:pPr>
    </w:p>
    <w:p w14:paraId="4626A5CB">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选择枝条、母竹、笋蔸三类插穗方式：枝条插穗适合规模化育苗，母竹插穗适合快速成林，笋蔸插穗适合资源循环利用，共同构成了竹笋种苗繁育的完整技术体系</w:t>
      </w:r>
      <w:r>
        <w:rPr>
          <w:rFonts w:hint="eastAsia" w:eastAsia="仿宋_GB2312"/>
          <w:color w:val="auto"/>
          <w:sz w:val="32"/>
          <w:szCs w:val="32"/>
          <w:lang w:eastAsia="zh-CN"/>
        </w:rPr>
        <w:drawing>
          <wp:anchor distT="0" distB="0" distL="114300" distR="114300" simplePos="0" relativeHeight="251684864" behindDoc="0" locked="0" layoutInCell="1" allowOverlap="1">
            <wp:simplePos x="0" y="0"/>
            <wp:positionH relativeFrom="column">
              <wp:posOffset>72390</wp:posOffset>
            </wp:positionH>
            <wp:positionV relativeFrom="paragraph">
              <wp:posOffset>243205</wp:posOffset>
            </wp:positionV>
            <wp:extent cx="5473700" cy="2496185"/>
            <wp:effectExtent l="0" t="0" r="10160" b="8255"/>
            <wp:wrapSquare wrapText="bothSides"/>
            <wp:docPr id="25" name="图片 25" descr="dc1fbf27-7739-4bcb-aa88-6256ae2780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c1fbf27-7739-4bcb-aa88-6256ae27807a"/>
                    <pic:cNvPicPr>
                      <a:picLocks noChangeAspect="1"/>
                    </pic:cNvPicPr>
                  </pic:nvPicPr>
                  <pic:blipFill>
                    <a:blip r:embed="rId26"/>
                    <a:stretch>
                      <a:fillRect/>
                    </a:stretch>
                  </pic:blipFill>
                  <pic:spPr>
                    <a:xfrm>
                      <a:off x="0" y="0"/>
                      <a:ext cx="5473700" cy="2496185"/>
                    </a:xfrm>
                    <a:prstGeom prst="rect">
                      <a:avLst/>
                    </a:prstGeom>
                  </pic:spPr>
                </pic:pic>
              </a:graphicData>
            </a:graphic>
          </wp:anchor>
        </w:drawing>
      </w:r>
      <w:r>
        <w:rPr>
          <w:rFonts w:hint="eastAsia" w:eastAsia="仿宋_GB2312"/>
          <w:color w:val="auto"/>
          <w:sz w:val="32"/>
          <w:szCs w:val="32"/>
          <w:lang w:eastAsia="zh-CN"/>
        </w:rPr>
        <w:t>。</w:t>
      </w:r>
    </w:p>
    <w:p w14:paraId="6EA268BD">
      <w:pPr>
        <w:spacing w:line="560" w:lineRule="exact"/>
        <w:ind w:firstLine="640" w:firstLineChars="200"/>
        <w:outlineLvl w:val="1"/>
        <w:rPr>
          <w:rFonts w:hint="eastAsia" w:eastAsia="仿宋_GB2312"/>
          <w:color w:val="auto"/>
          <w:sz w:val="32"/>
          <w:szCs w:val="32"/>
        </w:rPr>
      </w:pPr>
      <w:r>
        <w:rPr>
          <w:rFonts w:hint="eastAsia" w:eastAsia="仿宋_GB2312"/>
          <w:color w:val="auto"/>
          <w:sz w:val="32"/>
          <w:szCs w:val="32"/>
        </w:rPr>
        <w:t>枝条插穗：适合苗圃规模化育苗，尤其适合麻竹、吊丝球竹等丛生竹，1年生枝条基径≥1.8cm，保留2-4节，成活率可达</w:t>
      </w:r>
      <w:r>
        <w:rPr>
          <w:rFonts w:hint="eastAsia" w:eastAsia="仿宋_GB2312"/>
          <w:color w:val="auto"/>
          <w:sz w:val="32"/>
          <w:szCs w:val="32"/>
          <w:lang w:eastAsia="zh-CN"/>
        </w:rPr>
        <w:t>75%～85%。</w:t>
      </w:r>
    </w:p>
    <w:p w14:paraId="75FE98ED">
      <w:pPr>
        <w:spacing w:line="560" w:lineRule="exact"/>
        <w:ind w:firstLine="640" w:firstLineChars="200"/>
        <w:outlineLvl w:val="1"/>
        <w:rPr>
          <w:rFonts w:hint="eastAsia" w:eastAsia="仿宋_GB2312"/>
          <w:color w:val="auto"/>
          <w:sz w:val="32"/>
          <w:szCs w:val="32"/>
        </w:rPr>
      </w:pPr>
      <w:r>
        <w:rPr>
          <w:rFonts w:hint="eastAsia" w:eastAsia="仿宋_GB2312"/>
          <w:color w:val="auto"/>
          <w:sz w:val="32"/>
          <w:szCs w:val="32"/>
        </w:rPr>
        <w:t>母竹插穗：适合荒山造林、贫瘠地造林，直径3cm</w:t>
      </w:r>
      <w:r>
        <w:rPr>
          <w:rFonts w:hint="eastAsia" w:eastAsia="仿宋_GB2312"/>
          <w:color w:val="auto"/>
          <w:sz w:val="32"/>
          <w:szCs w:val="32"/>
          <w:lang w:eastAsia="zh-CN"/>
        </w:rPr>
        <w:t>～</w:t>
      </w:r>
      <w:r>
        <w:rPr>
          <w:rFonts w:hint="eastAsia" w:eastAsia="仿宋_GB2312"/>
          <w:color w:val="auto"/>
          <w:sz w:val="32"/>
          <w:szCs w:val="32"/>
        </w:rPr>
        <w:t>5cm的1-2年生母竹，保留80-120cm竹秆，定植后当年即可抽笋，成林周期比实生苗缩短3</w:t>
      </w:r>
      <w:r>
        <w:rPr>
          <w:rFonts w:hint="eastAsia" w:eastAsia="仿宋_GB2312"/>
          <w:color w:val="auto"/>
          <w:sz w:val="32"/>
          <w:szCs w:val="32"/>
          <w:lang w:eastAsia="zh-CN"/>
        </w:rPr>
        <w:t>～</w:t>
      </w:r>
      <w:r>
        <w:rPr>
          <w:rFonts w:hint="eastAsia" w:eastAsia="仿宋_GB2312"/>
          <w:color w:val="auto"/>
          <w:sz w:val="32"/>
          <w:szCs w:val="32"/>
        </w:rPr>
        <w:t>5年</w:t>
      </w:r>
      <w:r>
        <w:rPr>
          <w:rFonts w:hint="eastAsia" w:eastAsia="仿宋_GB2312"/>
          <w:color w:val="auto"/>
          <w:sz w:val="32"/>
          <w:szCs w:val="32"/>
          <w:lang w:eastAsia="zh-CN"/>
        </w:rPr>
        <w:t>。</w:t>
      </w:r>
    </w:p>
    <w:p w14:paraId="230C9173">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rPr>
        <w:t>笋蔸插穗：适合笋竹两用林，利用采笋后笋蔸，扦插后当年可形成新株，次年即可产笋，提高单位面积经济效益</w:t>
      </w:r>
      <w:r>
        <w:rPr>
          <w:rFonts w:hint="eastAsia" w:eastAsia="仿宋_GB2312"/>
          <w:color w:val="auto"/>
          <w:sz w:val="32"/>
          <w:szCs w:val="32"/>
          <w:lang w:eastAsia="zh-CN"/>
        </w:rPr>
        <w:t>。</w:t>
      </w:r>
    </w:p>
    <w:p w14:paraId="504D8C01">
      <w:pPr>
        <w:spacing w:line="560" w:lineRule="exact"/>
        <w:ind w:firstLine="480" w:firstLineChars="200"/>
        <w:outlineLvl w:val="1"/>
        <w:rPr>
          <w:rFonts w:hint="eastAsia" w:eastAsia="仿宋_GB2312"/>
          <w:color w:val="auto"/>
          <w:sz w:val="32"/>
          <w:szCs w:val="32"/>
          <w:lang w:eastAsia="zh-CN"/>
        </w:rPr>
      </w:pPr>
      <w:r>
        <w:rPr>
          <w:rFonts w:ascii="宋体" w:hAnsi="宋体" w:eastAsia="宋体" w:cs="宋体"/>
          <w:sz w:val="24"/>
          <w:szCs w:val="24"/>
        </w:rPr>
        <w:t>其他繁殖方式的局限性对比</w:t>
      </w:r>
    </w:p>
    <w:tbl>
      <w:tblPr>
        <w:tblStyle w:val="10"/>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898"/>
        <w:gridCol w:w="2171"/>
        <w:gridCol w:w="3306"/>
        <w:gridCol w:w="2390"/>
      </w:tblGrid>
      <w:tr w14:paraId="3A3B5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Header/>
        </w:trPr>
        <w:tc>
          <w:tcPr>
            <w:tcW w:w="512" w:type="pct"/>
            <w:shd w:val="clear" w:color="auto" w:fill="auto"/>
            <w:tcMar>
              <w:top w:w="69" w:type="dxa"/>
              <w:left w:w="69" w:type="dxa"/>
              <w:bottom w:w="69" w:type="dxa"/>
              <w:right w:w="69" w:type="dxa"/>
            </w:tcMar>
            <w:vAlign w:val="center"/>
          </w:tcPr>
          <w:p w14:paraId="2068DB08">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繁殖方式</w:t>
            </w:r>
          </w:p>
        </w:tc>
        <w:tc>
          <w:tcPr>
            <w:tcW w:w="1238" w:type="pct"/>
            <w:shd w:val="clear" w:color="auto" w:fill="auto"/>
            <w:tcMar>
              <w:top w:w="69" w:type="dxa"/>
              <w:left w:w="69" w:type="dxa"/>
              <w:bottom w:w="69" w:type="dxa"/>
              <w:right w:w="69" w:type="dxa"/>
            </w:tcMar>
            <w:vAlign w:val="center"/>
          </w:tcPr>
          <w:p w14:paraId="1C45BB57">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主要优点</w:t>
            </w:r>
          </w:p>
        </w:tc>
        <w:tc>
          <w:tcPr>
            <w:tcW w:w="1885" w:type="pct"/>
            <w:shd w:val="clear" w:color="auto" w:fill="auto"/>
            <w:tcMar>
              <w:top w:w="69" w:type="dxa"/>
              <w:left w:w="69" w:type="dxa"/>
              <w:bottom w:w="69" w:type="dxa"/>
              <w:right w:w="69" w:type="dxa"/>
            </w:tcMar>
            <w:vAlign w:val="center"/>
          </w:tcPr>
          <w:p w14:paraId="6E47ED46">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核心缺点</w:t>
            </w:r>
          </w:p>
        </w:tc>
        <w:tc>
          <w:tcPr>
            <w:tcW w:w="1363" w:type="pct"/>
            <w:shd w:val="clear" w:color="auto" w:fill="auto"/>
            <w:tcMar>
              <w:top w:w="69" w:type="dxa"/>
              <w:left w:w="69" w:type="dxa"/>
              <w:bottom w:w="69" w:type="dxa"/>
              <w:right w:w="69" w:type="dxa"/>
            </w:tcMar>
            <w:vAlign w:val="center"/>
          </w:tcPr>
          <w:p w14:paraId="7D5803FA">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试验数据表现</w:t>
            </w:r>
          </w:p>
        </w:tc>
      </w:tr>
      <w:tr w14:paraId="35909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12" w:type="pct"/>
            <w:shd w:val="clear" w:color="auto" w:fill="auto"/>
            <w:tcMar>
              <w:top w:w="69" w:type="dxa"/>
              <w:left w:w="69" w:type="dxa"/>
              <w:bottom w:w="69" w:type="dxa"/>
              <w:right w:w="69" w:type="dxa"/>
            </w:tcMar>
            <w:vAlign w:val="center"/>
          </w:tcPr>
          <w:p w14:paraId="2DD47F6D">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种子繁殖</w:t>
            </w:r>
          </w:p>
        </w:tc>
        <w:tc>
          <w:tcPr>
            <w:tcW w:w="1238" w:type="pct"/>
            <w:shd w:val="clear" w:color="auto" w:fill="auto"/>
            <w:tcMar>
              <w:top w:w="69" w:type="dxa"/>
              <w:left w:w="69" w:type="dxa"/>
              <w:bottom w:w="69" w:type="dxa"/>
              <w:right w:w="69" w:type="dxa"/>
            </w:tcMar>
            <w:vAlign w:val="center"/>
          </w:tcPr>
          <w:p w14:paraId="6C1D690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成本最低，适合大规模繁殖</w:t>
            </w:r>
          </w:p>
        </w:tc>
        <w:tc>
          <w:tcPr>
            <w:tcW w:w="1885" w:type="pct"/>
            <w:shd w:val="clear" w:color="auto" w:fill="auto"/>
            <w:tcMar>
              <w:top w:w="69" w:type="dxa"/>
              <w:left w:w="69" w:type="dxa"/>
              <w:bottom w:w="69" w:type="dxa"/>
              <w:right w:w="69" w:type="dxa"/>
            </w:tcMar>
            <w:vAlign w:val="center"/>
          </w:tcPr>
          <w:p w14:paraId="085B175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1.竹子开花周期长（40</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120年），种子稀缺</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2.种子寿命短（3</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6个月），发芽率低</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3.实生苗变异大，难以保持母本优良性状</w:t>
            </w:r>
          </w:p>
        </w:tc>
        <w:tc>
          <w:tcPr>
            <w:tcW w:w="1363" w:type="pct"/>
            <w:shd w:val="clear" w:color="auto" w:fill="auto"/>
            <w:tcMar>
              <w:top w:w="69" w:type="dxa"/>
              <w:left w:w="69" w:type="dxa"/>
              <w:bottom w:w="69" w:type="dxa"/>
              <w:right w:w="69" w:type="dxa"/>
            </w:tcMar>
            <w:vAlign w:val="center"/>
          </w:tcPr>
          <w:p w14:paraId="230D7761">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麻竹种子发芽率仅</w:t>
            </w:r>
            <w:r>
              <w:rPr>
                <w:rFonts w:hint="eastAsia" w:ascii="宋体" w:hAnsi="宋体" w:eastAsia="宋体" w:cs="宋体"/>
                <w:caps w:val="0"/>
                <w:spacing w:val="0"/>
                <w:kern w:val="0"/>
                <w:sz w:val="24"/>
                <w:szCs w:val="24"/>
                <w:lang w:val="en-US" w:eastAsia="zh-CN" w:bidi="ar"/>
              </w:rPr>
              <w:t>10%～20%</w:t>
            </w:r>
            <w:r>
              <w:rPr>
                <w:rFonts w:hint="default" w:ascii="宋体" w:hAnsi="宋体" w:eastAsia="宋体" w:cs="宋体"/>
                <w:caps w:val="0"/>
                <w:spacing w:val="0"/>
                <w:kern w:val="0"/>
                <w:sz w:val="24"/>
                <w:szCs w:val="24"/>
                <w:lang w:val="en-US" w:eastAsia="zh-CN" w:bidi="ar"/>
              </w:rPr>
              <w:t>，且成苗后笋质参差不齐</w:t>
            </w:r>
          </w:p>
        </w:tc>
      </w:tr>
      <w:tr w14:paraId="2551D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12" w:type="pct"/>
            <w:shd w:val="clear" w:color="auto" w:fill="auto"/>
            <w:tcMar>
              <w:top w:w="69" w:type="dxa"/>
              <w:left w:w="69" w:type="dxa"/>
              <w:bottom w:w="69" w:type="dxa"/>
              <w:right w:w="69" w:type="dxa"/>
            </w:tcMar>
            <w:vAlign w:val="center"/>
          </w:tcPr>
          <w:p w14:paraId="5206454C">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埋鞭育苗</w:t>
            </w:r>
          </w:p>
        </w:tc>
        <w:tc>
          <w:tcPr>
            <w:tcW w:w="1238" w:type="pct"/>
            <w:shd w:val="clear" w:color="auto" w:fill="auto"/>
            <w:tcMar>
              <w:top w:w="69" w:type="dxa"/>
              <w:left w:w="69" w:type="dxa"/>
              <w:bottom w:w="69" w:type="dxa"/>
              <w:right w:w="69" w:type="dxa"/>
            </w:tcMar>
            <w:vAlign w:val="center"/>
          </w:tcPr>
          <w:p w14:paraId="31B65DF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保持母本性状，生长较快</w:t>
            </w:r>
          </w:p>
        </w:tc>
        <w:tc>
          <w:tcPr>
            <w:tcW w:w="1885" w:type="pct"/>
            <w:shd w:val="clear" w:color="auto" w:fill="auto"/>
            <w:tcMar>
              <w:top w:w="69" w:type="dxa"/>
              <w:left w:w="69" w:type="dxa"/>
              <w:bottom w:w="69" w:type="dxa"/>
              <w:right w:w="69" w:type="dxa"/>
            </w:tcMar>
            <w:vAlign w:val="center"/>
          </w:tcPr>
          <w:p w14:paraId="1D77456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1.大量挖鞭损伤母竹林</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2.受季节限制（仅春秋可行）</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3.繁殖系数低（1:3-5）</w:t>
            </w:r>
          </w:p>
        </w:tc>
        <w:tc>
          <w:tcPr>
            <w:tcW w:w="1363" w:type="pct"/>
            <w:shd w:val="clear" w:color="auto" w:fill="auto"/>
            <w:tcMar>
              <w:top w:w="69" w:type="dxa"/>
              <w:left w:w="69" w:type="dxa"/>
              <w:bottom w:w="69" w:type="dxa"/>
              <w:right w:w="69" w:type="dxa"/>
            </w:tcMar>
            <w:vAlign w:val="center"/>
          </w:tcPr>
          <w:p w14:paraId="2998C7AB">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麻竹埋鞭成活率</w:t>
            </w:r>
            <w:r>
              <w:rPr>
                <w:rFonts w:hint="eastAsia" w:ascii="宋体" w:hAnsi="宋体" w:eastAsia="宋体" w:cs="宋体"/>
                <w:caps w:val="0"/>
                <w:spacing w:val="0"/>
                <w:kern w:val="0"/>
                <w:sz w:val="24"/>
                <w:szCs w:val="24"/>
                <w:lang w:val="en-US" w:eastAsia="zh-CN" w:bidi="ar"/>
              </w:rPr>
              <w:t>60%～70%</w:t>
            </w:r>
            <w:r>
              <w:rPr>
                <w:rFonts w:hint="default" w:ascii="宋体" w:hAnsi="宋体" w:eastAsia="宋体" w:cs="宋体"/>
                <w:caps w:val="0"/>
                <w:spacing w:val="0"/>
                <w:kern w:val="0"/>
                <w:sz w:val="24"/>
                <w:szCs w:val="24"/>
                <w:lang w:val="en-US" w:eastAsia="zh-CN" w:bidi="ar"/>
              </w:rPr>
              <w:t>，但每公顷母竹林仅能提供 2000-3000根竹鞭</w:t>
            </w:r>
          </w:p>
        </w:tc>
      </w:tr>
      <w:tr w14:paraId="4F59E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12" w:type="pct"/>
            <w:shd w:val="clear" w:color="auto" w:fill="auto"/>
            <w:tcMar>
              <w:top w:w="69" w:type="dxa"/>
              <w:left w:w="69" w:type="dxa"/>
              <w:bottom w:w="69" w:type="dxa"/>
              <w:right w:w="69" w:type="dxa"/>
            </w:tcMar>
            <w:vAlign w:val="center"/>
          </w:tcPr>
          <w:p w14:paraId="36746D31">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组织培养</w:t>
            </w:r>
          </w:p>
        </w:tc>
        <w:tc>
          <w:tcPr>
            <w:tcW w:w="1238" w:type="pct"/>
            <w:shd w:val="clear" w:color="auto" w:fill="auto"/>
            <w:tcMar>
              <w:top w:w="69" w:type="dxa"/>
              <w:left w:w="69" w:type="dxa"/>
              <w:bottom w:w="69" w:type="dxa"/>
              <w:right w:w="69" w:type="dxa"/>
            </w:tcMar>
            <w:vAlign w:val="center"/>
          </w:tcPr>
          <w:p w14:paraId="23F2F17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繁殖系数极高（1:1000+），可脱毒</w:t>
            </w:r>
          </w:p>
        </w:tc>
        <w:tc>
          <w:tcPr>
            <w:tcW w:w="1885" w:type="pct"/>
            <w:shd w:val="clear" w:color="auto" w:fill="auto"/>
            <w:tcMar>
              <w:top w:w="69" w:type="dxa"/>
              <w:left w:w="69" w:type="dxa"/>
              <w:bottom w:w="69" w:type="dxa"/>
              <w:right w:w="69" w:type="dxa"/>
            </w:tcMar>
            <w:vAlign w:val="center"/>
          </w:tcPr>
          <w:p w14:paraId="4913B1BB">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1.技术复杂，设备要求高，成本昂贵</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2.炼苗成活率低（</w:t>
            </w:r>
            <w:r>
              <w:rPr>
                <w:rFonts w:hint="eastAsia" w:ascii="宋体" w:hAnsi="宋体" w:eastAsia="宋体" w:cs="宋体"/>
                <w:caps w:val="0"/>
                <w:spacing w:val="0"/>
                <w:kern w:val="0"/>
                <w:sz w:val="24"/>
                <w:szCs w:val="24"/>
                <w:lang w:val="en-US" w:eastAsia="zh-CN" w:bidi="ar"/>
              </w:rPr>
              <w:t>30%～50%</w:t>
            </w:r>
            <w:r>
              <w:rPr>
                <w:rFonts w:hint="default" w:ascii="宋体" w:hAnsi="宋体" w:eastAsia="宋体" w:cs="宋体"/>
                <w:caps w:val="0"/>
                <w:spacing w:val="0"/>
                <w:kern w:val="0"/>
                <w:sz w:val="24"/>
                <w:szCs w:val="24"/>
                <w:lang w:val="en-US" w:eastAsia="zh-CN" w:bidi="ar"/>
              </w:rPr>
              <w:t>）</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3.易产生体细胞变异</w:t>
            </w:r>
          </w:p>
        </w:tc>
        <w:tc>
          <w:tcPr>
            <w:tcW w:w="1363" w:type="pct"/>
            <w:shd w:val="clear" w:color="auto" w:fill="auto"/>
            <w:tcMar>
              <w:top w:w="69" w:type="dxa"/>
              <w:left w:w="69" w:type="dxa"/>
              <w:bottom w:w="69" w:type="dxa"/>
              <w:right w:w="69" w:type="dxa"/>
            </w:tcMar>
            <w:vAlign w:val="center"/>
          </w:tcPr>
          <w:p w14:paraId="3D3176C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麻竹组培苗移栽成活率仅</w:t>
            </w:r>
            <w:r>
              <w:rPr>
                <w:rFonts w:hint="eastAsia" w:ascii="宋体" w:hAnsi="宋体" w:eastAsia="宋体" w:cs="宋体"/>
                <w:caps w:val="0"/>
                <w:spacing w:val="0"/>
                <w:kern w:val="0"/>
                <w:sz w:val="24"/>
                <w:szCs w:val="24"/>
                <w:lang w:val="en-US" w:eastAsia="zh-CN" w:bidi="ar"/>
              </w:rPr>
              <w:t>40%～50%</w:t>
            </w:r>
            <w:r>
              <w:rPr>
                <w:rFonts w:hint="default" w:ascii="宋体" w:hAnsi="宋体" w:eastAsia="宋体" w:cs="宋体"/>
                <w:caps w:val="0"/>
                <w:spacing w:val="0"/>
                <w:kern w:val="0"/>
                <w:sz w:val="24"/>
                <w:szCs w:val="24"/>
                <w:lang w:val="en-US" w:eastAsia="zh-CN" w:bidi="ar"/>
              </w:rPr>
              <w:t>，且需要专业人员操作</w:t>
            </w:r>
          </w:p>
        </w:tc>
      </w:tr>
      <w:tr w14:paraId="2DBCA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512" w:type="pct"/>
            <w:shd w:val="clear" w:color="auto" w:fill="auto"/>
            <w:tcMar>
              <w:top w:w="69" w:type="dxa"/>
              <w:left w:w="69" w:type="dxa"/>
              <w:bottom w:w="69" w:type="dxa"/>
              <w:right w:w="69" w:type="dxa"/>
            </w:tcMar>
            <w:vAlign w:val="center"/>
          </w:tcPr>
          <w:p w14:paraId="44CE5A6A">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埋节育苗</w:t>
            </w:r>
          </w:p>
        </w:tc>
        <w:tc>
          <w:tcPr>
            <w:tcW w:w="1238" w:type="pct"/>
            <w:shd w:val="clear" w:color="auto" w:fill="auto"/>
            <w:tcMar>
              <w:top w:w="69" w:type="dxa"/>
              <w:left w:w="69" w:type="dxa"/>
              <w:bottom w:w="69" w:type="dxa"/>
              <w:right w:w="69" w:type="dxa"/>
            </w:tcMar>
            <w:vAlign w:val="center"/>
          </w:tcPr>
          <w:p w14:paraId="36C65D71">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材料易得，操作简单</w:t>
            </w:r>
          </w:p>
        </w:tc>
        <w:tc>
          <w:tcPr>
            <w:tcW w:w="1885" w:type="pct"/>
            <w:shd w:val="clear" w:color="auto" w:fill="auto"/>
            <w:tcMar>
              <w:top w:w="69" w:type="dxa"/>
              <w:left w:w="69" w:type="dxa"/>
              <w:bottom w:w="69" w:type="dxa"/>
              <w:right w:w="69" w:type="dxa"/>
            </w:tcMar>
            <w:vAlign w:val="center"/>
          </w:tcPr>
          <w:p w14:paraId="12CD3D4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1.成活率不稳定（</w:t>
            </w:r>
            <w:r>
              <w:rPr>
                <w:rFonts w:hint="eastAsia" w:ascii="宋体" w:hAnsi="宋体" w:eastAsia="宋体" w:cs="宋体"/>
                <w:caps w:val="0"/>
                <w:spacing w:val="0"/>
                <w:kern w:val="0"/>
                <w:sz w:val="24"/>
                <w:szCs w:val="24"/>
                <w:lang w:val="en-US" w:eastAsia="zh-CN" w:bidi="ar"/>
              </w:rPr>
              <w:t>30%～60%</w:t>
            </w:r>
            <w:r>
              <w:rPr>
                <w:rFonts w:hint="default" w:ascii="宋体" w:hAnsi="宋体" w:eastAsia="宋体" w:cs="宋体"/>
                <w:caps w:val="0"/>
                <w:spacing w:val="0"/>
                <w:kern w:val="0"/>
                <w:sz w:val="24"/>
                <w:szCs w:val="24"/>
                <w:lang w:val="en-US" w:eastAsia="zh-CN" w:bidi="ar"/>
              </w:rPr>
              <w:t>）</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2.新生竹长势弱</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3.易受病虫害侵袭</w:t>
            </w:r>
          </w:p>
        </w:tc>
        <w:tc>
          <w:tcPr>
            <w:tcW w:w="1363" w:type="pct"/>
            <w:shd w:val="clear" w:color="auto" w:fill="auto"/>
            <w:tcMar>
              <w:top w:w="69" w:type="dxa"/>
              <w:left w:w="69" w:type="dxa"/>
              <w:bottom w:w="69" w:type="dxa"/>
              <w:right w:w="69" w:type="dxa"/>
            </w:tcMar>
            <w:vAlign w:val="center"/>
          </w:tcPr>
          <w:p w14:paraId="0DC1223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慈竹埋节育苗1 年生单竹节成活率仅35%，远低于母竹插穗</w:t>
            </w:r>
          </w:p>
        </w:tc>
      </w:tr>
      <w:tr w14:paraId="353F6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12" w:type="pct"/>
            <w:shd w:val="clear" w:color="auto" w:fill="auto"/>
            <w:tcMar>
              <w:top w:w="69" w:type="dxa"/>
              <w:left w:w="69" w:type="dxa"/>
              <w:bottom w:w="69" w:type="dxa"/>
              <w:right w:w="69" w:type="dxa"/>
            </w:tcMar>
            <w:vAlign w:val="center"/>
          </w:tcPr>
          <w:p w14:paraId="5664E8DC">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高空压条</w:t>
            </w:r>
          </w:p>
        </w:tc>
        <w:tc>
          <w:tcPr>
            <w:tcW w:w="1238" w:type="pct"/>
            <w:shd w:val="clear" w:color="auto" w:fill="auto"/>
            <w:tcMar>
              <w:top w:w="69" w:type="dxa"/>
              <w:left w:w="69" w:type="dxa"/>
              <w:bottom w:w="69" w:type="dxa"/>
              <w:right w:w="69" w:type="dxa"/>
            </w:tcMar>
            <w:vAlign w:val="center"/>
          </w:tcPr>
          <w:p w14:paraId="3C57D1F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成活率高（</w:t>
            </w:r>
            <w:r>
              <w:rPr>
                <w:rFonts w:hint="eastAsia" w:ascii="宋体" w:hAnsi="宋体" w:eastAsia="宋体" w:cs="宋体"/>
                <w:caps w:val="0"/>
                <w:spacing w:val="0"/>
                <w:kern w:val="0"/>
                <w:sz w:val="24"/>
                <w:szCs w:val="24"/>
                <w:lang w:val="en-US" w:eastAsia="zh-CN" w:bidi="ar"/>
              </w:rPr>
              <w:t>70%—80%</w:t>
            </w:r>
            <w:r>
              <w:rPr>
                <w:rFonts w:hint="default" w:ascii="宋体" w:hAnsi="宋体" w:eastAsia="宋体" w:cs="宋体"/>
                <w:caps w:val="0"/>
                <w:spacing w:val="0"/>
                <w:kern w:val="0"/>
                <w:sz w:val="24"/>
                <w:szCs w:val="24"/>
                <w:lang w:val="en-US" w:eastAsia="zh-CN" w:bidi="ar"/>
              </w:rPr>
              <w:t>）</w:t>
            </w:r>
          </w:p>
        </w:tc>
        <w:tc>
          <w:tcPr>
            <w:tcW w:w="1885" w:type="pct"/>
            <w:shd w:val="clear" w:color="auto" w:fill="auto"/>
            <w:tcMar>
              <w:top w:w="69" w:type="dxa"/>
              <w:left w:w="69" w:type="dxa"/>
              <w:bottom w:w="69" w:type="dxa"/>
              <w:right w:w="69" w:type="dxa"/>
            </w:tcMar>
            <w:vAlign w:val="center"/>
          </w:tcPr>
          <w:p w14:paraId="446AD64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1.操作繁琐，效率低</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2.对母竹损伤大</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3.运输不便，成本高</w:t>
            </w:r>
          </w:p>
        </w:tc>
        <w:tc>
          <w:tcPr>
            <w:tcW w:w="1363" w:type="pct"/>
            <w:shd w:val="clear" w:color="auto" w:fill="auto"/>
            <w:tcMar>
              <w:top w:w="69" w:type="dxa"/>
              <w:left w:w="69" w:type="dxa"/>
              <w:bottom w:w="69" w:type="dxa"/>
              <w:right w:w="69" w:type="dxa"/>
            </w:tcMar>
            <w:vAlign w:val="center"/>
          </w:tcPr>
          <w:p w14:paraId="5B68F37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麻竹高空压条每株母竹仅能繁殖5</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8株，且需3</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4个月才能生根移栽</w:t>
            </w:r>
          </w:p>
        </w:tc>
      </w:tr>
    </w:tbl>
    <w:p w14:paraId="4002408B">
      <w:pPr>
        <w:spacing w:line="560" w:lineRule="exact"/>
        <w:ind w:firstLine="480" w:firstLineChars="200"/>
        <w:outlineLvl w:val="1"/>
        <w:rPr>
          <w:rFonts w:hint="eastAsia" w:eastAsia="仿宋_GB2312"/>
          <w:color w:val="auto"/>
          <w:sz w:val="32"/>
          <w:szCs w:val="32"/>
          <w:lang w:eastAsia="zh-CN"/>
        </w:rPr>
      </w:pPr>
      <w:r>
        <w:rPr>
          <w:rFonts w:ascii="宋体" w:hAnsi="宋体" w:eastAsia="宋体" w:cs="宋体"/>
          <w:sz w:val="24"/>
          <w:szCs w:val="24"/>
        </w:rPr>
        <w:t>成活率与繁殖效率对比</w:t>
      </w:r>
    </w:p>
    <w:tbl>
      <w:tblPr>
        <w:tblStyle w:val="1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1143"/>
        <w:gridCol w:w="2414"/>
        <w:gridCol w:w="1435"/>
        <w:gridCol w:w="1459"/>
        <w:gridCol w:w="2314"/>
      </w:tblGrid>
      <w:tr w14:paraId="23388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blHeader/>
          <w:jc w:val="center"/>
        </w:trPr>
        <w:tc>
          <w:tcPr>
            <w:tcW w:w="652" w:type="pct"/>
            <w:shd w:val="clear" w:color="auto" w:fill="auto"/>
            <w:tcMar>
              <w:top w:w="69" w:type="dxa"/>
              <w:left w:w="69" w:type="dxa"/>
              <w:bottom w:w="69" w:type="dxa"/>
              <w:right w:w="69" w:type="dxa"/>
            </w:tcMar>
            <w:vAlign w:val="center"/>
          </w:tcPr>
          <w:p w14:paraId="5B1A9AD7">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插穗类型</w:t>
            </w:r>
          </w:p>
        </w:tc>
        <w:tc>
          <w:tcPr>
            <w:tcW w:w="1376" w:type="pct"/>
            <w:shd w:val="clear" w:color="auto" w:fill="auto"/>
            <w:tcMar>
              <w:top w:w="69" w:type="dxa"/>
              <w:left w:w="69" w:type="dxa"/>
              <w:bottom w:w="69" w:type="dxa"/>
              <w:right w:w="69" w:type="dxa"/>
            </w:tcMar>
            <w:vAlign w:val="center"/>
          </w:tcPr>
          <w:p w14:paraId="5237C47C">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成活率</w:t>
            </w:r>
          </w:p>
        </w:tc>
        <w:tc>
          <w:tcPr>
            <w:tcW w:w="818" w:type="pct"/>
            <w:shd w:val="clear" w:color="auto" w:fill="auto"/>
            <w:tcMar>
              <w:top w:w="69" w:type="dxa"/>
              <w:left w:w="69" w:type="dxa"/>
              <w:bottom w:w="69" w:type="dxa"/>
              <w:right w:w="69" w:type="dxa"/>
            </w:tcMar>
            <w:vAlign w:val="center"/>
          </w:tcPr>
          <w:p w14:paraId="739B4F81">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繁殖系数</w:t>
            </w:r>
          </w:p>
        </w:tc>
        <w:tc>
          <w:tcPr>
            <w:tcW w:w="832" w:type="pct"/>
            <w:shd w:val="clear" w:color="auto" w:fill="auto"/>
            <w:tcMar>
              <w:top w:w="69" w:type="dxa"/>
              <w:left w:w="69" w:type="dxa"/>
              <w:bottom w:w="69" w:type="dxa"/>
              <w:right w:w="69" w:type="dxa"/>
            </w:tcMar>
            <w:vAlign w:val="center"/>
          </w:tcPr>
          <w:p w14:paraId="2A9A0438">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成苗时间</w:t>
            </w:r>
          </w:p>
        </w:tc>
        <w:tc>
          <w:tcPr>
            <w:tcW w:w="1319" w:type="pct"/>
            <w:shd w:val="clear" w:color="auto" w:fill="auto"/>
            <w:tcMar>
              <w:top w:w="69" w:type="dxa"/>
              <w:left w:w="69" w:type="dxa"/>
              <w:bottom w:w="69" w:type="dxa"/>
              <w:right w:w="69" w:type="dxa"/>
            </w:tcMar>
            <w:vAlign w:val="center"/>
          </w:tcPr>
          <w:p w14:paraId="6A82CA3B">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综合成本（元/株）</w:t>
            </w:r>
          </w:p>
        </w:tc>
      </w:tr>
      <w:tr w14:paraId="0FB40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52" w:type="pct"/>
            <w:shd w:val="clear" w:color="auto" w:fill="auto"/>
            <w:tcMar>
              <w:top w:w="69" w:type="dxa"/>
              <w:left w:w="69" w:type="dxa"/>
              <w:bottom w:w="69" w:type="dxa"/>
              <w:right w:w="69" w:type="dxa"/>
            </w:tcMar>
            <w:vAlign w:val="center"/>
          </w:tcPr>
          <w:p w14:paraId="4FADC13E">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枝条插穗</w:t>
            </w:r>
          </w:p>
        </w:tc>
        <w:tc>
          <w:tcPr>
            <w:tcW w:w="1376" w:type="pct"/>
            <w:shd w:val="clear" w:color="auto" w:fill="auto"/>
            <w:tcMar>
              <w:top w:w="69" w:type="dxa"/>
              <w:left w:w="69" w:type="dxa"/>
              <w:bottom w:w="69" w:type="dxa"/>
              <w:right w:w="69" w:type="dxa"/>
            </w:tcMar>
            <w:vAlign w:val="center"/>
          </w:tcPr>
          <w:p w14:paraId="333BE048">
            <w:pPr>
              <w:keepNext w:val="0"/>
              <w:keepLines w:val="0"/>
              <w:widowControl/>
              <w:suppressLineNumbers w:val="0"/>
              <w:spacing w:before="0" w:beforeAutospacing="0" w:after="0" w:afterAutospacing="0"/>
              <w:ind w:left="0" w:right="0"/>
              <w:jc w:val="left"/>
              <w:rPr>
                <w:rFonts w:hint="default"/>
                <w:caps w:val="0"/>
                <w:spacing w:val="0"/>
              </w:rPr>
            </w:pPr>
            <w:r>
              <w:rPr>
                <w:rFonts w:hint="eastAsia" w:ascii="宋体" w:hAnsi="宋体" w:eastAsia="宋体" w:cs="宋体"/>
                <w:caps w:val="0"/>
                <w:spacing w:val="0"/>
                <w:kern w:val="0"/>
                <w:sz w:val="24"/>
                <w:szCs w:val="24"/>
                <w:lang w:val="en-US" w:eastAsia="zh-CN" w:bidi="ar"/>
              </w:rPr>
              <w:t>75%～85%</w:t>
            </w:r>
            <w:r>
              <w:rPr>
                <w:rFonts w:hint="default" w:ascii="宋体" w:hAnsi="宋体" w:eastAsia="宋体" w:cs="宋体"/>
                <w:caps w:val="0"/>
                <w:spacing w:val="0"/>
                <w:kern w:val="0"/>
                <w:sz w:val="24"/>
                <w:szCs w:val="24"/>
                <w:lang w:val="en-US" w:eastAsia="zh-CN" w:bidi="ar"/>
              </w:rPr>
              <w:t>（IBA 处理）</w:t>
            </w:r>
          </w:p>
        </w:tc>
        <w:tc>
          <w:tcPr>
            <w:tcW w:w="818" w:type="pct"/>
            <w:shd w:val="clear" w:color="auto" w:fill="auto"/>
            <w:tcMar>
              <w:top w:w="69" w:type="dxa"/>
              <w:left w:w="69" w:type="dxa"/>
              <w:bottom w:w="69" w:type="dxa"/>
              <w:right w:w="69" w:type="dxa"/>
            </w:tcMar>
            <w:vAlign w:val="center"/>
          </w:tcPr>
          <w:p w14:paraId="5A66309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1:50</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100</w:t>
            </w:r>
          </w:p>
        </w:tc>
        <w:tc>
          <w:tcPr>
            <w:tcW w:w="832" w:type="pct"/>
            <w:shd w:val="clear" w:color="auto" w:fill="auto"/>
            <w:tcMar>
              <w:top w:w="69" w:type="dxa"/>
              <w:left w:w="69" w:type="dxa"/>
              <w:bottom w:w="69" w:type="dxa"/>
              <w:right w:w="69" w:type="dxa"/>
            </w:tcMar>
            <w:vAlign w:val="center"/>
          </w:tcPr>
          <w:p w14:paraId="0AAE2348">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3</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4 个月</w:t>
            </w:r>
          </w:p>
        </w:tc>
        <w:tc>
          <w:tcPr>
            <w:tcW w:w="1319" w:type="pct"/>
            <w:shd w:val="clear" w:color="auto" w:fill="auto"/>
            <w:tcMar>
              <w:top w:w="69" w:type="dxa"/>
              <w:left w:w="69" w:type="dxa"/>
              <w:bottom w:w="69" w:type="dxa"/>
              <w:right w:w="69" w:type="dxa"/>
            </w:tcMar>
            <w:vAlign w:val="center"/>
          </w:tcPr>
          <w:p w14:paraId="311EFD08">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0.8</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1.2</w:t>
            </w:r>
          </w:p>
        </w:tc>
      </w:tr>
      <w:tr w14:paraId="20E5C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52" w:type="pct"/>
            <w:shd w:val="clear" w:color="auto" w:fill="auto"/>
            <w:tcMar>
              <w:top w:w="69" w:type="dxa"/>
              <w:left w:w="69" w:type="dxa"/>
              <w:bottom w:w="69" w:type="dxa"/>
              <w:right w:w="69" w:type="dxa"/>
            </w:tcMar>
            <w:vAlign w:val="center"/>
          </w:tcPr>
          <w:p w14:paraId="671A03B5">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母竹插穗</w:t>
            </w:r>
          </w:p>
        </w:tc>
        <w:tc>
          <w:tcPr>
            <w:tcW w:w="1376" w:type="pct"/>
            <w:shd w:val="clear" w:color="auto" w:fill="auto"/>
            <w:tcMar>
              <w:top w:w="69" w:type="dxa"/>
              <w:left w:w="69" w:type="dxa"/>
              <w:bottom w:w="69" w:type="dxa"/>
              <w:right w:w="69" w:type="dxa"/>
            </w:tcMar>
            <w:vAlign w:val="center"/>
          </w:tcPr>
          <w:p w14:paraId="065D1F15">
            <w:pPr>
              <w:keepNext w:val="0"/>
              <w:keepLines w:val="0"/>
              <w:widowControl/>
              <w:suppressLineNumbers w:val="0"/>
              <w:spacing w:before="0" w:beforeAutospacing="0" w:after="0" w:afterAutospacing="0"/>
              <w:ind w:left="0" w:right="0"/>
              <w:jc w:val="left"/>
              <w:rPr>
                <w:rFonts w:hint="default"/>
                <w:caps w:val="0"/>
                <w:spacing w:val="0"/>
              </w:rPr>
            </w:pPr>
            <w:r>
              <w:rPr>
                <w:rFonts w:hint="eastAsia" w:ascii="宋体" w:hAnsi="宋体" w:eastAsia="宋体" w:cs="宋体"/>
                <w:caps w:val="0"/>
                <w:spacing w:val="0"/>
                <w:kern w:val="0"/>
                <w:sz w:val="24"/>
                <w:szCs w:val="24"/>
                <w:lang w:val="en-US" w:eastAsia="zh-CN" w:bidi="ar"/>
              </w:rPr>
              <w:t>90%～95%</w:t>
            </w:r>
          </w:p>
        </w:tc>
        <w:tc>
          <w:tcPr>
            <w:tcW w:w="818" w:type="pct"/>
            <w:shd w:val="clear" w:color="auto" w:fill="auto"/>
            <w:tcMar>
              <w:top w:w="69" w:type="dxa"/>
              <w:left w:w="69" w:type="dxa"/>
              <w:bottom w:w="69" w:type="dxa"/>
              <w:right w:w="69" w:type="dxa"/>
            </w:tcMar>
            <w:vAlign w:val="center"/>
          </w:tcPr>
          <w:p w14:paraId="62D28CA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1:5</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10</w:t>
            </w:r>
          </w:p>
        </w:tc>
        <w:tc>
          <w:tcPr>
            <w:tcW w:w="832" w:type="pct"/>
            <w:shd w:val="clear" w:color="auto" w:fill="auto"/>
            <w:tcMar>
              <w:top w:w="69" w:type="dxa"/>
              <w:left w:w="69" w:type="dxa"/>
              <w:bottom w:w="69" w:type="dxa"/>
              <w:right w:w="69" w:type="dxa"/>
            </w:tcMar>
            <w:vAlign w:val="center"/>
          </w:tcPr>
          <w:p w14:paraId="2B9A529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3 个月</w:t>
            </w:r>
          </w:p>
        </w:tc>
        <w:tc>
          <w:tcPr>
            <w:tcW w:w="1319" w:type="pct"/>
            <w:shd w:val="clear" w:color="auto" w:fill="auto"/>
            <w:tcMar>
              <w:top w:w="69" w:type="dxa"/>
              <w:left w:w="69" w:type="dxa"/>
              <w:bottom w:w="69" w:type="dxa"/>
              <w:right w:w="69" w:type="dxa"/>
            </w:tcMar>
            <w:vAlign w:val="center"/>
          </w:tcPr>
          <w:p w14:paraId="10DE261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5-8</w:t>
            </w:r>
          </w:p>
        </w:tc>
      </w:tr>
      <w:tr w14:paraId="20BC7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52" w:type="pct"/>
            <w:shd w:val="clear" w:color="auto" w:fill="auto"/>
            <w:tcMar>
              <w:top w:w="69" w:type="dxa"/>
              <w:left w:w="69" w:type="dxa"/>
              <w:bottom w:w="69" w:type="dxa"/>
              <w:right w:w="69" w:type="dxa"/>
            </w:tcMar>
            <w:vAlign w:val="center"/>
          </w:tcPr>
          <w:p w14:paraId="6CC1C6F9">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笋蔸插穗</w:t>
            </w:r>
          </w:p>
        </w:tc>
        <w:tc>
          <w:tcPr>
            <w:tcW w:w="1376" w:type="pct"/>
            <w:shd w:val="clear" w:color="auto" w:fill="auto"/>
            <w:tcMar>
              <w:top w:w="69" w:type="dxa"/>
              <w:left w:w="69" w:type="dxa"/>
              <w:bottom w:w="69" w:type="dxa"/>
              <w:right w:w="69" w:type="dxa"/>
            </w:tcMar>
            <w:vAlign w:val="center"/>
          </w:tcPr>
          <w:p w14:paraId="217A813D">
            <w:pPr>
              <w:keepNext w:val="0"/>
              <w:keepLines w:val="0"/>
              <w:widowControl/>
              <w:suppressLineNumbers w:val="0"/>
              <w:spacing w:before="0" w:beforeAutospacing="0" w:after="0" w:afterAutospacing="0"/>
              <w:ind w:left="0" w:right="0"/>
              <w:jc w:val="left"/>
              <w:rPr>
                <w:rFonts w:hint="default"/>
                <w:caps w:val="0"/>
                <w:spacing w:val="0"/>
              </w:rPr>
            </w:pPr>
            <w:r>
              <w:rPr>
                <w:rFonts w:hint="eastAsia" w:ascii="宋体" w:hAnsi="宋体" w:eastAsia="宋体" w:cs="宋体"/>
                <w:caps w:val="0"/>
                <w:spacing w:val="0"/>
                <w:kern w:val="0"/>
                <w:sz w:val="24"/>
                <w:szCs w:val="24"/>
                <w:lang w:val="en-US" w:eastAsia="zh-CN" w:bidi="ar"/>
              </w:rPr>
              <w:t>70%～80%</w:t>
            </w:r>
          </w:p>
        </w:tc>
        <w:tc>
          <w:tcPr>
            <w:tcW w:w="818" w:type="pct"/>
            <w:shd w:val="clear" w:color="auto" w:fill="auto"/>
            <w:tcMar>
              <w:top w:w="69" w:type="dxa"/>
              <w:left w:w="69" w:type="dxa"/>
              <w:bottom w:w="69" w:type="dxa"/>
              <w:right w:w="69" w:type="dxa"/>
            </w:tcMar>
            <w:vAlign w:val="center"/>
          </w:tcPr>
          <w:p w14:paraId="6CC4983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1:20</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30</w:t>
            </w:r>
          </w:p>
        </w:tc>
        <w:tc>
          <w:tcPr>
            <w:tcW w:w="832" w:type="pct"/>
            <w:shd w:val="clear" w:color="auto" w:fill="auto"/>
            <w:tcMar>
              <w:top w:w="69" w:type="dxa"/>
              <w:left w:w="69" w:type="dxa"/>
              <w:bottom w:w="69" w:type="dxa"/>
              <w:right w:w="69" w:type="dxa"/>
            </w:tcMar>
            <w:vAlign w:val="center"/>
          </w:tcPr>
          <w:p w14:paraId="7C7FA0E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3</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4 个月</w:t>
            </w:r>
          </w:p>
        </w:tc>
        <w:tc>
          <w:tcPr>
            <w:tcW w:w="1319" w:type="pct"/>
            <w:shd w:val="clear" w:color="auto" w:fill="auto"/>
            <w:tcMar>
              <w:top w:w="69" w:type="dxa"/>
              <w:left w:w="69" w:type="dxa"/>
              <w:bottom w:w="69" w:type="dxa"/>
              <w:right w:w="69" w:type="dxa"/>
            </w:tcMar>
            <w:vAlign w:val="center"/>
          </w:tcPr>
          <w:p w14:paraId="5E804035">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0.5-0.8</w:t>
            </w:r>
          </w:p>
        </w:tc>
      </w:tr>
      <w:tr w14:paraId="06163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52" w:type="pct"/>
            <w:shd w:val="clear" w:color="auto" w:fill="auto"/>
            <w:tcMar>
              <w:top w:w="69" w:type="dxa"/>
              <w:left w:w="69" w:type="dxa"/>
              <w:bottom w:w="69" w:type="dxa"/>
              <w:right w:w="69" w:type="dxa"/>
            </w:tcMar>
            <w:vAlign w:val="center"/>
          </w:tcPr>
          <w:p w14:paraId="286CE173">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埋节育苗</w:t>
            </w:r>
          </w:p>
        </w:tc>
        <w:tc>
          <w:tcPr>
            <w:tcW w:w="1376" w:type="pct"/>
            <w:shd w:val="clear" w:color="auto" w:fill="auto"/>
            <w:tcMar>
              <w:top w:w="69" w:type="dxa"/>
              <w:left w:w="69" w:type="dxa"/>
              <w:bottom w:w="69" w:type="dxa"/>
              <w:right w:w="69" w:type="dxa"/>
            </w:tcMar>
            <w:vAlign w:val="center"/>
          </w:tcPr>
          <w:p w14:paraId="2ED0C241">
            <w:pPr>
              <w:keepNext w:val="0"/>
              <w:keepLines w:val="0"/>
              <w:widowControl/>
              <w:suppressLineNumbers w:val="0"/>
              <w:spacing w:before="0" w:beforeAutospacing="0" w:after="0" w:afterAutospacing="0"/>
              <w:ind w:left="0" w:right="0"/>
              <w:jc w:val="left"/>
              <w:rPr>
                <w:rFonts w:hint="default"/>
                <w:caps w:val="0"/>
                <w:spacing w:val="0"/>
              </w:rPr>
            </w:pPr>
            <w:r>
              <w:rPr>
                <w:rFonts w:hint="eastAsia" w:ascii="宋体" w:hAnsi="宋体" w:eastAsia="宋体" w:cs="宋体"/>
                <w:caps w:val="0"/>
                <w:spacing w:val="0"/>
                <w:kern w:val="0"/>
                <w:sz w:val="24"/>
                <w:szCs w:val="24"/>
                <w:lang w:val="en-US" w:eastAsia="zh-CN" w:bidi="ar"/>
              </w:rPr>
              <w:t>50%～60%</w:t>
            </w:r>
          </w:p>
        </w:tc>
        <w:tc>
          <w:tcPr>
            <w:tcW w:w="818" w:type="pct"/>
            <w:shd w:val="clear" w:color="auto" w:fill="auto"/>
            <w:tcMar>
              <w:top w:w="69" w:type="dxa"/>
              <w:left w:w="69" w:type="dxa"/>
              <w:bottom w:w="69" w:type="dxa"/>
              <w:right w:w="69" w:type="dxa"/>
            </w:tcMar>
            <w:vAlign w:val="center"/>
          </w:tcPr>
          <w:p w14:paraId="719E319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1:10</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15</w:t>
            </w:r>
          </w:p>
        </w:tc>
        <w:tc>
          <w:tcPr>
            <w:tcW w:w="832" w:type="pct"/>
            <w:shd w:val="clear" w:color="auto" w:fill="auto"/>
            <w:tcMar>
              <w:top w:w="69" w:type="dxa"/>
              <w:left w:w="69" w:type="dxa"/>
              <w:bottom w:w="69" w:type="dxa"/>
              <w:right w:w="69" w:type="dxa"/>
            </w:tcMar>
            <w:vAlign w:val="center"/>
          </w:tcPr>
          <w:p w14:paraId="6D8DAF00">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4</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5 个月</w:t>
            </w:r>
          </w:p>
        </w:tc>
        <w:tc>
          <w:tcPr>
            <w:tcW w:w="1319" w:type="pct"/>
            <w:shd w:val="clear" w:color="auto" w:fill="auto"/>
            <w:tcMar>
              <w:top w:w="69" w:type="dxa"/>
              <w:left w:w="69" w:type="dxa"/>
              <w:bottom w:w="69" w:type="dxa"/>
              <w:right w:w="69" w:type="dxa"/>
            </w:tcMar>
            <w:vAlign w:val="center"/>
          </w:tcPr>
          <w:p w14:paraId="5CF2072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1.5-2.0</w:t>
            </w:r>
          </w:p>
        </w:tc>
      </w:tr>
    </w:tbl>
    <w:p w14:paraId="4EF60DF7">
      <w:pPr>
        <w:spacing w:line="560" w:lineRule="exact"/>
        <w:ind w:firstLine="640" w:firstLineChars="200"/>
        <w:outlineLvl w:val="1"/>
        <w:rPr>
          <w:rFonts w:hint="eastAsia" w:eastAsia="仿宋_GB2312"/>
          <w:color w:val="auto"/>
          <w:sz w:val="32"/>
          <w:szCs w:val="32"/>
          <w:lang w:eastAsia="zh-CN"/>
        </w:rPr>
      </w:pPr>
    </w:p>
    <w:p w14:paraId="1390D8E1">
      <w:pPr>
        <w:spacing w:line="560" w:lineRule="exact"/>
        <w:ind w:firstLine="640" w:firstLineChars="200"/>
        <w:outlineLvl w:val="1"/>
        <w:rPr>
          <w:rFonts w:hint="eastAsia" w:eastAsia="仿宋_GB2312"/>
          <w:color w:val="auto"/>
          <w:sz w:val="32"/>
          <w:szCs w:val="32"/>
          <w:lang w:val="en-US" w:eastAsia="zh-CN"/>
        </w:rPr>
      </w:pPr>
      <w:r>
        <w:rPr>
          <w:rFonts w:hint="eastAsia" w:eastAsia="仿宋_GB2312"/>
          <w:color w:val="auto"/>
          <w:sz w:val="32"/>
          <w:szCs w:val="32"/>
          <w:lang w:val="en-US" w:eastAsia="zh-CN"/>
        </w:rPr>
        <w:t>3.4繁育方式</w:t>
      </w:r>
    </w:p>
    <w:p w14:paraId="0C0DCBA6">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lang w:eastAsia="zh-CN"/>
        </w:rPr>
        <w:t>南宁赤红壤有机质含量偏低，农家肥可提升土壤有机质、改良团粒结构，实现缓效供肥；必须腐熟是为避免未腐熟有机肥发酵烧根、携带虫卵病菌，同时满足竹苗苗期温和、持续的养分需求。配施钙镁磷肥：钙镁磷肥呈弱碱性，可适度调节赤红壤偏酸性；磷是竹苗生根、促壮的核心元素，钙、镁能提升种苗抗逆性、茎秆充实度，适配扦插苗生根关键期养分需求。</w:t>
      </w:r>
    </w:p>
    <w:p w14:paraId="19BE55B9">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lang w:eastAsia="zh-CN"/>
        </w:rPr>
        <w:t>供试品种：麻竹（南宁老友粉主栽笋用竹品种）</w:t>
      </w:r>
    </w:p>
    <w:p w14:paraId="0E8F8EA6">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lang w:eastAsia="zh-CN"/>
        </w:rPr>
        <w:t>土壤类型：南宁典型赤红壤（pH5.8，有机质含量1.2%）</w:t>
      </w:r>
    </w:p>
    <w:p w14:paraId="5A1817E1">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lang w:eastAsia="zh-CN"/>
        </w:rPr>
        <w:t>育苗方式：侧枝扦插育苗（扦插时间：3 月中下旬）</w:t>
      </w:r>
    </w:p>
    <w:p w14:paraId="18196C7B">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lang w:eastAsia="zh-CN"/>
        </w:rPr>
        <w:t>试验周期：6个月（育苗至出圃）</w:t>
      </w:r>
    </w:p>
    <w:p w14:paraId="72FA91E9">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lang w:eastAsia="zh-CN"/>
        </w:rPr>
        <w:t>施肥方式：整地时一次性施入基肥（腐熟农家肥 + 钙镁磷肥配施）</w:t>
      </w:r>
    </w:p>
    <w:p w14:paraId="4F9B74C8">
      <w:pPr>
        <w:spacing w:line="560" w:lineRule="exact"/>
        <w:ind w:firstLine="640" w:firstLineChars="200"/>
        <w:outlineLvl w:val="1"/>
        <w:rPr>
          <w:rFonts w:hint="eastAsia" w:eastAsia="仿宋_GB2312"/>
          <w:color w:val="auto"/>
          <w:sz w:val="32"/>
          <w:szCs w:val="32"/>
          <w:lang w:eastAsia="zh-CN"/>
        </w:rPr>
      </w:pPr>
    </w:p>
    <w:tbl>
      <w:tblPr>
        <w:tblStyle w:val="10"/>
        <w:tblW w:w="53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15" w:type="dxa"/>
          <w:left w:w="15" w:type="dxa"/>
          <w:bottom w:w="15" w:type="dxa"/>
          <w:right w:w="15" w:type="dxa"/>
        </w:tblCellMar>
      </w:tblPr>
      <w:tblGrid>
        <w:gridCol w:w="532"/>
        <w:gridCol w:w="2024"/>
        <w:gridCol w:w="781"/>
        <w:gridCol w:w="1095"/>
        <w:gridCol w:w="1272"/>
        <w:gridCol w:w="829"/>
        <w:gridCol w:w="1036"/>
        <w:gridCol w:w="1143"/>
        <w:gridCol w:w="754"/>
      </w:tblGrid>
      <w:tr w14:paraId="012A4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blHeader/>
          <w:jc w:val="center"/>
        </w:trPr>
        <w:tc>
          <w:tcPr>
            <w:tcW w:w="281" w:type="pct"/>
            <w:shd w:val="clear" w:color="auto" w:fill="auto"/>
            <w:tcMar>
              <w:top w:w="69" w:type="dxa"/>
              <w:left w:w="69" w:type="dxa"/>
              <w:bottom w:w="69" w:type="dxa"/>
              <w:right w:w="69" w:type="dxa"/>
            </w:tcMar>
            <w:vAlign w:val="center"/>
          </w:tcPr>
          <w:p w14:paraId="1E81009A">
            <w:pPr>
              <w:keepNext w:val="0"/>
              <w:keepLines w:val="0"/>
              <w:widowControl/>
              <w:suppressLineNumbers w:val="0"/>
              <w:spacing w:before="0" w:beforeAutospacing="0" w:after="0" w:afterAutospacing="0"/>
              <w:ind w:left="0" w:right="0"/>
              <w:jc w:val="center"/>
              <w:rPr>
                <w:rFonts w:hint="default"/>
                <w:b/>
                <w:bCs/>
                <w:caps w:val="0"/>
                <w:spacing w:val="0"/>
              </w:rPr>
            </w:pPr>
            <w:r>
              <w:rPr>
                <w:rFonts w:hint="default" w:ascii="宋体" w:hAnsi="宋体" w:eastAsia="宋体" w:cs="宋体"/>
                <w:b/>
                <w:bCs/>
                <w:caps w:val="0"/>
                <w:spacing w:val="0"/>
                <w:kern w:val="0"/>
                <w:sz w:val="24"/>
                <w:szCs w:val="24"/>
                <w:lang w:val="en-US" w:eastAsia="zh-CN" w:bidi="ar"/>
              </w:rPr>
              <w:t>处理编号</w:t>
            </w:r>
          </w:p>
        </w:tc>
        <w:tc>
          <w:tcPr>
            <w:tcW w:w="1069" w:type="pct"/>
            <w:shd w:val="clear" w:color="auto" w:fill="auto"/>
            <w:tcMar>
              <w:top w:w="69" w:type="dxa"/>
              <w:left w:w="69" w:type="dxa"/>
              <w:bottom w:w="69" w:type="dxa"/>
              <w:right w:w="69" w:type="dxa"/>
            </w:tcMar>
            <w:vAlign w:val="center"/>
          </w:tcPr>
          <w:p w14:paraId="5DFFB0BA">
            <w:pPr>
              <w:keepNext w:val="0"/>
              <w:keepLines w:val="0"/>
              <w:widowControl/>
              <w:suppressLineNumbers w:val="0"/>
              <w:spacing w:before="0" w:beforeAutospacing="0" w:after="0" w:afterAutospacing="0"/>
              <w:ind w:left="0" w:right="0"/>
              <w:jc w:val="center"/>
              <w:rPr>
                <w:rFonts w:hint="default"/>
                <w:b/>
                <w:bCs/>
                <w:caps w:val="0"/>
                <w:spacing w:val="0"/>
              </w:rPr>
            </w:pPr>
            <w:r>
              <w:rPr>
                <w:rFonts w:hint="default" w:ascii="宋体" w:hAnsi="宋体" w:eastAsia="宋体" w:cs="宋体"/>
                <w:b/>
                <w:bCs/>
                <w:caps w:val="0"/>
                <w:spacing w:val="0"/>
                <w:kern w:val="0"/>
                <w:sz w:val="24"/>
                <w:szCs w:val="24"/>
                <w:lang w:val="en-US" w:eastAsia="zh-CN" w:bidi="ar"/>
              </w:rPr>
              <w:t>施肥量配置（基肥）</w:t>
            </w:r>
          </w:p>
        </w:tc>
        <w:tc>
          <w:tcPr>
            <w:tcW w:w="412" w:type="pct"/>
            <w:shd w:val="clear" w:color="auto" w:fill="auto"/>
            <w:tcMar>
              <w:top w:w="69" w:type="dxa"/>
              <w:left w:w="69" w:type="dxa"/>
              <w:bottom w:w="69" w:type="dxa"/>
              <w:right w:w="69" w:type="dxa"/>
            </w:tcMar>
            <w:vAlign w:val="center"/>
          </w:tcPr>
          <w:p w14:paraId="60A31FBF">
            <w:pPr>
              <w:keepNext w:val="0"/>
              <w:keepLines w:val="0"/>
              <w:widowControl/>
              <w:suppressLineNumbers w:val="0"/>
              <w:spacing w:before="0" w:beforeAutospacing="0" w:after="0" w:afterAutospacing="0"/>
              <w:ind w:left="0" w:right="0"/>
              <w:jc w:val="center"/>
              <w:rPr>
                <w:rFonts w:hint="default"/>
                <w:b/>
                <w:bCs/>
                <w:caps w:val="0"/>
                <w:spacing w:val="0"/>
              </w:rPr>
            </w:pPr>
            <w:r>
              <w:rPr>
                <w:rFonts w:hint="default" w:ascii="宋体" w:hAnsi="宋体" w:eastAsia="宋体" w:cs="宋体"/>
                <w:b/>
                <w:bCs/>
                <w:caps w:val="0"/>
                <w:spacing w:val="0"/>
                <w:kern w:val="0"/>
                <w:sz w:val="24"/>
                <w:szCs w:val="24"/>
                <w:lang w:val="en-US" w:eastAsia="zh-CN" w:bidi="ar"/>
              </w:rPr>
              <w:t>扦插成活率（%）</w:t>
            </w:r>
          </w:p>
        </w:tc>
        <w:tc>
          <w:tcPr>
            <w:tcW w:w="578" w:type="pct"/>
            <w:shd w:val="clear" w:color="auto" w:fill="auto"/>
            <w:tcMar>
              <w:top w:w="69" w:type="dxa"/>
              <w:left w:w="69" w:type="dxa"/>
              <w:bottom w:w="69" w:type="dxa"/>
              <w:right w:w="69" w:type="dxa"/>
            </w:tcMar>
            <w:vAlign w:val="center"/>
          </w:tcPr>
          <w:p w14:paraId="4AC44EA2">
            <w:pPr>
              <w:keepNext w:val="0"/>
              <w:keepLines w:val="0"/>
              <w:widowControl/>
              <w:suppressLineNumbers w:val="0"/>
              <w:spacing w:before="0" w:beforeAutospacing="0" w:after="0" w:afterAutospacing="0"/>
              <w:ind w:left="0" w:right="0"/>
              <w:jc w:val="center"/>
              <w:rPr>
                <w:rFonts w:hint="default"/>
                <w:b/>
                <w:bCs/>
                <w:caps w:val="0"/>
                <w:spacing w:val="0"/>
              </w:rPr>
            </w:pPr>
            <w:r>
              <w:rPr>
                <w:rFonts w:hint="default" w:ascii="宋体" w:hAnsi="宋体" w:eastAsia="宋体" w:cs="宋体"/>
                <w:b/>
                <w:bCs/>
                <w:caps w:val="0"/>
                <w:spacing w:val="0"/>
                <w:kern w:val="0"/>
                <w:sz w:val="24"/>
                <w:szCs w:val="24"/>
                <w:lang w:val="en-US" w:eastAsia="zh-CN" w:bidi="ar"/>
              </w:rPr>
              <w:t>平均苗高（cm）</w:t>
            </w:r>
          </w:p>
        </w:tc>
        <w:tc>
          <w:tcPr>
            <w:tcW w:w="671" w:type="pct"/>
            <w:shd w:val="clear" w:color="auto" w:fill="auto"/>
            <w:tcMar>
              <w:top w:w="69" w:type="dxa"/>
              <w:left w:w="69" w:type="dxa"/>
              <w:bottom w:w="69" w:type="dxa"/>
              <w:right w:w="69" w:type="dxa"/>
            </w:tcMar>
            <w:vAlign w:val="center"/>
          </w:tcPr>
          <w:p w14:paraId="1BFE0522">
            <w:pPr>
              <w:keepNext w:val="0"/>
              <w:keepLines w:val="0"/>
              <w:widowControl/>
              <w:suppressLineNumbers w:val="0"/>
              <w:spacing w:before="0" w:beforeAutospacing="0" w:after="0" w:afterAutospacing="0"/>
              <w:ind w:left="0" w:right="0"/>
              <w:jc w:val="center"/>
              <w:rPr>
                <w:rFonts w:hint="default"/>
                <w:b/>
                <w:bCs/>
                <w:caps w:val="0"/>
                <w:spacing w:val="0"/>
              </w:rPr>
            </w:pPr>
            <w:r>
              <w:rPr>
                <w:rFonts w:hint="default" w:ascii="宋体" w:hAnsi="宋体" w:eastAsia="宋体" w:cs="宋体"/>
                <w:b/>
                <w:bCs/>
                <w:caps w:val="0"/>
                <w:spacing w:val="0"/>
                <w:kern w:val="0"/>
                <w:sz w:val="24"/>
                <w:szCs w:val="24"/>
                <w:lang w:val="en-US" w:eastAsia="zh-CN" w:bidi="ar"/>
              </w:rPr>
              <w:t>平均地径（mm）</w:t>
            </w:r>
          </w:p>
        </w:tc>
        <w:tc>
          <w:tcPr>
            <w:tcW w:w="437" w:type="pct"/>
            <w:shd w:val="clear" w:color="auto" w:fill="auto"/>
            <w:tcMar>
              <w:top w:w="69" w:type="dxa"/>
              <w:left w:w="69" w:type="dxa"/>
              <w:bottom w:w="69" w:type="dxa"/>
              <w:right w:w="69" w:type="dxa"/>
            </w:tcMar>
            <w:vAlign w:val="center"/>
          </w:tcPr>
          <w:p w14:paraId="1173A122">
            <w:pPr>
              <w:keepNext w:val="0"/>
              <w:keepLines w:val="0"/>
              <w:widowControl/>
              <w:suppressLineNumbers w:val="0"/>
              <w:spacing w:before="0" w:beforeAutospacing="0" w:after="0" w:afterAutospacing="0"/>
              <w:ind w:left="0" w:right="0"/>
              <w:jc w:val="center"/>
              <w:rPr>
                <w:rFonts w:hint="default"/>
                <w:b/>
                <w:bCs/>
                <w:caps w:val="0"/>
                <w:spacing w:val="0"/>
              </w:rPr>
            </w:pPr>
            <w:r>
              <w:rPr>
                <w:rFonts w:hint="default" w:ascii="宋体" w:hAnsi="宋体" w:eastAsia="宋体" w:cs="宋体"/>
                <w:b/>
                <w:bCs/>
                <w:caps w:val="0"/>
                <w:spacing w:val="0"/>
                <w:kern w:val="0"/>
                <w:sz w:val="24"/>
                <w:szCs w:val="24"/>
                <w:lang w:val="en-US" w:eastAsia="zh-CN" w:bidi="ar"/>
              </w:rPr>
              <w:t>根系鲜重（g / 株）</w:t>
            </w:r>
          </w:p>
        </w:tc>
        <w:tc>
          <w:tcPr>
            <w:tcW w:w="547" w:type="pct"/>
            <w:shd w:val="clear" w:color="auto" w:fill="auto"/>
            <w:tcMar>
              <w:top w:w="69" w:type="dxa"/>
              <w:left w:w="69" w:type="dxa"/>
              <w:bottom w:w="69" w:type="dxa"/>
              <w:right w:w="69" w:type="dxa"/>
            </w:tcMar>
            <w:vAlign w:val="center"/>
          </w:tcPr>
          <w:p w14:paraId="6EC2D176">
            <w:pPr>
              <w:keepNext w:val="0"/>
              <w:keepLines w:val="0"/>
              <w:widowControl/>
              <w:suppressLineNumbers w:val="0"/>
              <w:spacing w:before="0" w:beforeAutospacing="0" w:after="0" w:afterAutospacing="0"/>
              <w:ind w:left="0" w:right="0"/>
              <w:jc w:val="center"/>
              <w:rPr>
                <w:rFonts w:hint="default"/>
                <w:b/>
                <w:bCs/>
                <w:caps w:val="0"/>
                <w:spacing w:val="0"/>
              </w:rPr>
            </w:pPr>
            <w:r>
              <w:rPr>
                <w:rFonts w:hint="default" w:ascii="宋体" w:hAnsi="宋体" w:eastAsia="宋体" w:cs="宋体"/>
                <w:b/>
                <w:bCs/>
                <w:caps w:val="0"/>
                <w:spacing w:val="0"/>
                <w:kern w:val="0"/>
                <w:sz w:val="24"/>
                <w:szCs w:val="24"/>
                <w:lang w:val="en-US" w:eastAsia="zh-CN" w:bidi="ar"/>
              </w:rPr>
              <w:t>壮苗率（%）①</w:t>
            </w:r>
          </w:p>
        </w:tc>
        <w:tc>
          <w:tcPr>
            <w:tcW w:w="603" w:type="pct"/>
            <w:shd w:val="clear" w:color="auto" w:fill="auto"/>
            <w:tcMar>
              <w:top w:w="69" w:type="dxa"/>
              <w:left w:w="69" w:type="dxa"/>
              <w:bottom w:w="69" w:type="dxa"/>
              <w:right w:w="69" w:type="dxa"/>
            </w:tcMar>
            <w:vAlign w:val="center"/>
          </w:tcPr>
          <w:p w14:paraId="41D9FE1B">
            <w:pPr>
              <w:keepNext w:val="0"/>
              <w:keepLines w:val="0"/>
              <w:widowControl/>
              <w:suppressLineNumbers w:val="0"/>
              <w:spacing w:before="0" w:beforeAutospacing="0" w:after="0" w:afterAutospacing="0"/>
              <w:ind w:left="0" w:right="0"/>
              <w:jc w:val="center"/>
              <w:rPr>
                <w:rFonts w:hint="default"/>
                <w:b/>
                <w:bCs/>
                <w:caps w:val="0"/>
                <w:spacing w:val="0"/>
              </w:rPr>
            </w:pPr>
            <w:r>
              <w:rPr>
                <w:rFonts w:hint="default" w:ascii="宋体" w:hAnsi="宋体" w:eastAsia="宋体" w:cs="宋体"/>
                <w:b/>
                <w:bCs/>
                <w:caps w:val="0"/>
                <w:spacing w:val="0"/>
                <w:kern w:val="0"/>
                <w:sz w:val="24"/>
                <w:szCs w:val="24"/>
                <w:lang w:val="en-US" w:eastAsia="zh-CN" w:bidi="ar"/>
              </w:rPr>
              <w:t>肥害发生率（%）</w:t>
            </w:r>
          </w:p>
        </w:tc>
        <w:tc>
          <w:tcPr>
            <w:tcW w:w="398" w:type="pct"/>
            <w:shd w:val="clear" w:color="auto" w:fill="auto"/>
            <w:tcMar>
              <w:top w:w="69" w:type="dxa"/>
              <w:left w:w="69" w:type="dxa"/>
              <w:bottom w:w="69" w:type="dxa"/>
              <w:right w:w="69" w:type="dxa"/>
            </w:tcMar>
            <w:vAlign w:val="center"/>
          </w:tcPr>
          <w:p w14:paraId="6BDE3C2C">
            <w:pPr>
              <w:keepNext w:val="0"/>
              <w:keepLines w:val="0"/>
              <w:widowControl/>
              <w:suppressLineNumbers w:val="0"/>
              <w:spacing w:before="0" w:beforeAutospacing="0" w:after="0" w:afterAutospacing="0"/>
              <w:ind w:left="0" w:right="0"/>
              <w:jc w:val="center"/>
              <w:rPr>
                <w:rFonts w:hint="default"/>
                <w:b/>
                <w:bCs/>
                <w:caps w:val="0"/>
                <w:spacing w:val="0"/>
              </w:rPr>
            </w:pPr>
            <w:r>
              <w:rPr>
                <w:rFonts w:hint="default" w:ascii="宋体" w:hAnsi="宋体" w:eastAsia="宋体" w:cs="宋体"/>
                <w:b/>
                <w:bCs/>
                <w:caps w:val="0"/>
                <w:spacing w:val="0"/>
                <w:kern w:val="0"/>
                <w:sz w:val="24"/>
                <w:szCs w:val="24"/>
                <w:lang w:val="en-US" w:eastAsia="zh-CN" w:bidi="ar"/>
              </w:rPr>
              <w:t>综合评价</w:t>
            </w:r>
          </w:p>
        </w:tc>
      </w:tr>
      <w:tr w14:paraId="10CC6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281" w:type="pct"/>
            <w:shd w:val="clear" w:color="auto" w:fill="auto"/>
            <w:tcMar>
              <w:top w:w="69" w:type="dxa"/>
              <w:left w:w="69" w:type="dxa"/>
              <w:bottom w:w="69" w:type="dxa"/>
              <w:right w:w="69" w:type="dxa"/>
            </w:tcMar>
            <w:vAlign w:val="center"/>
          </w:tcPr>
          <w:p w14:paraId="27630A9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CK</w:t>
            </w:r>
          </w:p>
        </w:tc>
        <w:tc>
          <w:tcPr>
            <w:tcW w:w="1069" w:type="pct"/>
            <w:shd w:val="clear" w:color="auto" w:fill="auto"/>
            <w:tcMar>
              <w:top w:w="69" w:type="dxa"/>
              <w:left w:w="69" w:type="dxa"/>
              <w:bottom w:w="69" w:type="dxa"/>
              <w:right w:w="69" w:type="dxa"/>
            </w:tcMar>
            <w:vAlign w:val="center"/>
          </w:tcPr>
          <w:p w14:paraId="2E982911">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不施肥（空白对照）</w:t>
            </w:r>
          </w:p>
        </w:tc>
        <w:tc>
          <w:tcPr>
            <w:tcW w:w="412" w:type="pct"/>
            <w:shd w:val="clear" w:color="auto" w:fill="auto"/>
            <w:tcMar>
              <w:top w:w="69" w:type="dxa"/>
              <w:left w:w="69" w:type="dxa"/>
              <w:bottom w:w="69" w:type="dxa"/>
              <w:right w:w="69" w:type="dxa"/>
            </w:tcMar>
            <w:vAlign w:val="center"/>
          </w:tcPr>
          <w:p w14:paraId="3832DC3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63.2</w:t>
            </w:r>
          </w:p>
        </w:tc>
        <w:tc>
          <w:tcPr>
            <w:tcW w:w="578" w:type="pct"/>
            <w:shd w:val="clear" w:color="auto" w:fill="auto"/>
            <w:tcMar>
              <w:top w:w="69" w:type="dxa"/>
              <w:left w:w="69" w:type="dxa"/>
              <w:bottom w:w="69" w:type="dxa"/>
              <w:right w:w="69" w:type="dxa"/>
            </w:tcMar>
            <w:vAlign w:val="center"/>
          </w:tcPr>
          <w:p w14:paraId="55DF5EF4">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17.8</w:t>
            </w:r>
          </w:p>
        </w:tc>
        <w:tc>
          <w:tcPr>
            <w:tcW w:w="671" w:type="pct"/>
            <w:shd w:val="clear" w:color="auto" w:fill="auto"/>
            <w:tcMar>
              <w:top w:w="69" w:type="dxa"/>
              <w:left w:w="69" w:type="dxa"/>
              <w:bottom w:w="69" w:type="dxa"/>
              <w:right w:w="69" w:type="dxa"/>
            </w:tcMar>
            <w:vAlign w:val="center"/>
          </w:tcPr>
          <w:p w14:paraId="00F5DD9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1.7</w:t>
            </w:r>
          </w:p>
        </w:tc>
        <w:tc>
          <w:tcPr>
            <w:tcW w:w="437" w:type="pct"/>
            <w:shd w:val="clear" w:color="auto" w:fill="auto"/>
            <w:tcMar>
              <w:top w:w="69" w:type="dxa"/>
              <w:left w:w="69" w:type="dxa"/>
              <w:bottom w:w="69" w:type="dxa"/>
              <w:right w:w="69" w:type="dxa"/>
            </w:tcMar>
            <w:vAlign w:val="center"/>
          </w:tcPr>
          <w:p w14:paraId="1DE513C4">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4.2</w:t>
            </w:r>
          </w:p>
        </w:tc>
        <w:tc>
          <w:tcPr>
            <w:tcW w:w="547" w:type="pct"/>
            <w:shd w:val="clear" w:color="auto" w:fill="auto"/>
            <w:tcMar>
              <w:top w:w="69" w:type="dxa"/>
              <w:left w:w="69" w:type="dxa"/>
              <w:bottom w:w="69" w:type="dxa"/>
              <w:right w:w="69" w:type="dxa"/>
            </w:tcMar>
            <w:vAlign w:val="center"/>
          </w:tcPr>
          <w:p w14:paraId="4848F8B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35.6</w:t>
            </w:r>
          </w:p>
        </w:tc>
        <w:tc>
          <w:tcPr>
            <w:tcW w:w="603" w:type="pct"/>
            <w:shd w:val="clear" w:color="auto" w:fill="auto"/>
            <w:tcMar>
              <w:top w:w="69" w:type="dxa"/>
              <w:left w:w="69" w:type="dxa"/>
              <w:bottom w:w="69" w:type="dxa"/>
              <w:right w:w="69" w:type="dxa"/>
            </w:tcMar>
            <w:vAlign w:val="center"/>
          </w:tcPr>
          <w:p w14:paraId="11D4846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0</w:t>
            </w:r>
          </w:p>
        </w:tc>
        <w:tc>
          <w:tcPr>
            <w:tcW w:w="398" w:type="pct"/>
            <w:shd w:val="clear" w:color="auto" w:fill="auto"/>
            <w:tcMar>
              <w:top w:w="69" w:type="dxa"/>
              <w:left w:w="69" w:type="dxa"/>
              <w:bottom w:w="69" w:type="dxa"/>
              <w:right w:w="69" w:type="dxa"/>
            </w:tcMar>
            <w:vAlign w:val="center"/>
          </w:tcPr>
          <w:p w14:paraId="6DA63C3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最差</w:t>
            </w:r>
          </w:p>
        </w:tc>
      </w:tr>
      <w:tr w14:paraId="03C05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281" w:type="pct"/>
            <w:shd w:val="clear" w:color="auto" w:fill="auto"/>
            <w:tcMar>
              <w:top w:w="69" w:type="dxa"/>
              <w:left w:w="69" w:type="dxa"/>
              <w:bottom w:w="69" w:type="dxa"/>
              <w:right w:w="69" w:type="dxa"/>
            </w:tcMar>
            <w:vAlign w:val="center"/>
          </w:tcPr>
          <w:p w14:paraId="1B220211">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T1</w:t>
            </w:r>
          </w:p>
        </w:tc>
        <w:tc>
          <w:tcPr>
            <w:tcW w:w="1069" w:type="pct"/>
            <w:shd w:val="clear" w:color="auto" w:fill="auto"/>
            <w:tcMar>
              <w:top w:w="69" w:type="dxa"/>
              <w:left w:w="69" w:type="dxa"/>
              <w:bottom w:w="69" w:type="dxa"/>
              <w:right w:w="69" w:type="dxa"/>
            </w:tcMar>
            <w:vAlign w:val="center"/>
          </w:tcPr>
          <w:p w14:paraId="1B7CD79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腐熟农家肥 10 t/hm² + 钙镁磷肥 500 kg/hm²（低于规程下限）</w:t>
            </w:r>
          </w:p>
        </w:tc>
        <w:tc>
          <w:tcPr>
            <w:tcW w:w="412" w:type="pct"/>
            <w:shd w:val="clear" w:color="auto" w:fill="auto"/>
            <w:tcMar>
              <w:top w:w="69" w:type="dxa"/>
              <w:left w:w="69" w:type="dxa"/>
              <w:bottom w:w="69" w:type="dxa"/>
              <w:right w:w="69" w:type="dxa"/>
            </w:tcMar>
            <w:vAlign w:val="center"/>
          </w:tcPr>
          <w:p w14:paraId="4BEF20ED">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74.5</w:t>
            </w:r>
          </w:p>
        </w:tc>
        <w:tc>
          <w:tcPr>
            <w:tcW w:w="578" w:type="pct"/>
            <w:shd w:val="clear" w:color="auto" w:fill="auto"/>
            <w:tcMar>
              <w:top w:w="69" w:type="dxa"/>
              <w:left w:w="69" w:type="dxa"/>
              <w:bottom w:w="69" w:type="dxa"/>
              <w:right w:w="69" w:type="dxa"/>
            </w:tcMar>
            <w:vAlign w:val="center"/>
          </w:tcPr>
          <w:p w14:paraId="22DD99E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23.6</w:t>
            </w:r>
          </w:p>
        </w:tc>
        <w:tc>
          <w:tcPr>
            <w:tcW w:w="671" w:type="pct"/>
            <w:shd w:val="clear" w:color="auto" w:fill="auto"/>
            <w:tcMar>
              <w:top w:w="69" w:type="dxa"/>
              <w:left w:w="69" w:type="dxa"/>
              <w:bottom w:w="69" w:type="dxa"/>
              <w:right w:w="69" w:type="dxa"/>
            </w:tcMar>
            <w:vAlign w:val="center"/>
          </w:tcPr>
          <w:p w14:paraId="7AB897C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2.1</w:t>
            </w:r>
          </w:p>
        </w:tc>
        <w:tc>
          <w:tcPr>
            <w:tcW w:w="437" w:type="pct"/>
            <w:shd w:val="clear" w:color="auto" w:fill="auto"/>
            <w:tcMar>
              <w:top w:w="69" w:type="dxa"/>
              <w:left w:w="69" w:type="dxa"/>
              <w:bottom w:w="69" w:type="dxa"/>
              <w:right w:w="69" w:type="dxa"/>
            </w:tcMar>
            <w:vAlign w:val="center"/>
          </w:tcPr>
          <w:p w14:paraId="13819D3E">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6.8</w:t>
            </w:r>
          </w:p>
        </w:tc>
        <w:tc>
          <w:tcPr>
            <w:tcW w:w="547" w:type="pct"/>
            <w:shd w:val="clear" w:color="auto" w:fill="auto"/>
            <w:tcMar>
              <w:top w:w="69" w:type="dxa"/>
              <w:left w:w="69" w:type="dxa"/>
              <w:bottom w:w="69" w:type="dxa"/>
              <w:right w:w="69" w:type="dxa"/>
            </w:tcMar>
            <w:vAlign w:val="center"/>
          </w:tcPr>
          <w:p w14:paraId="590EA97E">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52.3</w:t>
            </w:r>
          </w:p>
        </w:tc>
        <w:tc>
          <w:tcPr>
            <w:tcW w:w="603" w:type="pct"/>
            <w:shd w:val="clear" w:color="auto" w:fill="auto"/>
            <w:tcMar>
              <w:top w:w="69" w:type="dxa"/>
              <w:left w:w="69" w:type="dxa"/>
              <w:bottom w:w="69" w:type="dxa"/>
              <w:right w:w="69" w:type="dxa"/>
            </w:tcMar>
            <w:vAlign w:val="center"/>
          </w:tcPr>
          <w:p w14:paraId="2A9623A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0</w:t>
            </w:r>
          </w:p>
        </w:tc>
        <w:tc>
          <w:tcPr>
            <w:tcW w:w="398" w:type="pct"/>
            <w:shd w:val="clear" w:color="auto" w:fill="auto"/>
            <w:tcMar>
              <w:top w:w="69" w:type="dxa"/>
              <w:left w:w="69" w:type="dxa"/>
              <w:bottom w:w="69" w:type="dxa"/>
              <w:right w:w="69" w:type="dxa"/>
            </w:tcMar>
            <w:vAlign w:val="center"/>
          </w:tcPr>
          <w:p w14:paraId="5A90DB0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较差</w:t>
            </w:r>
          </w:p>
        </w:tc>
      </w:tr>
      <w:tr w14:paraId="4193D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281" w:type="pct"/>
            <w:shd w:val="clear" w:color="auto" w:fill="auto"/>
            <w:tcMar>
              <w:top w:w="69" w:type="dxa"/>
              <w:left w:w="69" w:type="dxa"/>
              <w:bottom w:w="69" w:type="dxa"/>
              <w:right w:w="69" w:type="dxa"/>
            </w:tcMar>
            <w:vAlign w:val="center"/>
          </w:tcPr>
          <w:p w14:paraId="0C343DE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T2</w:t>
            </w:r>
          </w:p>
        </w:tc>
        <w:tc>
          <w:tcPr>
            <w:tcW w:w="1069" w:type="pct"/>
            <w:shd w:val="clear" w:color="auto" w:fill="auto"/>
            <w:tcMar>
              <w:top w:w="69" w:type="dxa"/>
              <w:left w:w="69" w:type="dxa"/>
              <w:bottom w:w="69" w:type="dxa"/>
              <w:right w:w="69" w:type="dxa"/>
            </w:tcMar>
            <w:vAlign w:val="center"/>
          </w:tcPr>
          <w:p w14:paraId="187F83E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腐熟农家肥 15 t/hm² + 钙镁磷肥 750 kg/hm²（规程下限）</w:t>
            </w:r>
          </w:p>
        </w:tc>
        <w:tc>
          <w:tcPr>
            <w:tcW w:w="412" w:type="pct"/>
            <w:shd w:val="clear" w:color="auto" w:fill="auto"/>
            <w:tcMar>
              <w:top w:w="69" w:type="dxa"/>
              <w:left w:w="69" w:type="dxa"/>
              <w:bottom w:w="69" w:type="dxa"/>
              <w:right w:w="69" w:type="dxa"/>
            </w:tcMar>
            <w:vAlign w:val="center"/>
          </w:tcPr>
          <w:p w14:paraId="61F872E2">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87.8</w:t>
            </w:r>
          </w:p>
        </w:tc>
        <w:tc>
          <w:tcPr>
            <w:tcW w:w="578" w:type="pct"/>
            <w:shd w:val="clear" w:color="auto" w:fill="auto"/>
            <w:tcMar>
              <w:top w:w="69" w:type="dxa"/>
              <w:left w:w="69" w:type="dxa"/>
              <w:bottom w:w="69" w:type="dxa"/>
              <w:right w:w="69" w:type="dxa"/>
            </w:tcMar>
            <w:vAlign w:val="center"/>
          </w:tcPr>
          <w:p w14:paraId="7927037D">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31.2</w:t>
            </w:r>
          </w:p>
        </w:tc>
        <w:tc>
          <w:tcPr>
            <w:tcW w:w="671" w:type="pct"/>
            <w:shd w:val="clear" w:color="auto" w:fill="auto"/>
            <w:tcMar>
              <w:top w:w="69" w:type="dxa"/>
              <w:left w:w="69" w:type="dxa"/>
              <w:bottom w:w="69" w:type="dxa"/>
              <w:right w:w="69" w:type="dxa"/>
            </w:tcMar>
            <w:vAlign w:val="center"/>
          </w:tcPr>
          <w:p w14:paraId="7B41AA9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2.6</w:t>
            </w:r>
          </w:p>
        </w:tc>
        <w:tc>
          <w:tcPr>
            <w:tcW w:w="437" w:type="pct"/>
            <w:shd w:val="clear" w:color="auto" w:fill="auto"/>
            <w:tcMar>
              <w:top w:w="69" w:type="dxa"/>
              <w:left w:w="69" w:type="dxa"/>
              <w:bottom w:w="69" w:type="dxa"/>
              <w:right w:w="69" w:type="dxa"/>
            </w:tcMar>
            <w:vAlign w:val="center"/>
          </w:tcPr>
          <w:p w14:paraId="16B3A59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9.5</w:t>
            </w:r>
          </w:p>
        </w:tc>
        <w:tc>
          <w:tcPr>
            <w:tcW w:w="547" w:type="pct"/>
            <w:shd w:val="clear" w:color="auto" w:fill="auto"/>
            <w:tcMar>
              <w:top w:w="69" w:type="dxa"/>
              <w:left w:w="69" w:type="dxa"/>
              <w:bottom w:w="69" w:type="dxa"/>
              <w:right w:w="69" w:type="dxa"/>
            </w:tcMar>
            <w:vAlign w:val="center"/>
          </w:tcPr>
          <w:p w14:paraId="2A2F1DE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86.7</w:t>
            </w:r>
          </w:p>
        </w:tc>
        <w:tc>
          <w:tcPr>
            <w:tcW w:w="603" w:type="pct"/>
            <w:shd w:val="clear" w:color="auto" w:fill="auto"/>
            <w:tcMar>
              <w:top w:w="69" w:type="dxa"/>
              <w:left w:w="69" w:type="dxa"/>
              <w:bottom w:w="69" w:type="dxa"/>
              <w:right w:w="69" w:type="dxa"/>
            </w:tcMar>
            <w:vAlign w:val="center"/>
          </w:tcPr>
          <w:p w14:paraId="3CB0F87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0</w:t>
            </w:r>
          </w:p>
        </w:tc>
        <w:tc>
          <w:tcPr>
            <w:tcW w:w="398" w:type="pct"/>
            <w:shd w:val="clear" w:color="auto" w:fill="auto"/>
            <w:tcMar>
              <w:top w:w="69" w:type="dxa"/>
              <w:left w:w="69" w:type="dxa"/>
              <w:bottom w:w="69" w:type="dxa"/>
              <w:right w:w="69" w:type="dxa"/>
            </w:tcMar>
            <w:vAlign w:val="center"/>
          </w:tcPr>
          <w:p w14:paraId="0C6C8AFD">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最优</w:t>
            </w:r>
          </w:p>
        </w:tc>
      </w:tr>
      <w:tr w14:paraId="09844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281" w:type="pct"/>
            <w:shd w:val="clear" w:color="auto" w:fill="auto"/>
            <w:tcMar>
              <w:top w:w="69" w:type="dxa"/>
              <w:left w:w="69" w:type="dxa"/>
              <w:bottom w:w="69" w:type="dxa"/>
              <w:right w:w="69" w:type="dxa"/>
            </w:tcMar>
            <w:vAlign w:val="center"/>
          </w:tcPr>
          <w:p w14:paraId="325B578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T3</w:t>
            </w:r>
          </w:p>
        </w:tc>
        <w:tc>
          <w:tcPr>
            <w:tcW w:w="1069" w:type="pct"/>
            <w:shd w:val="clear" w:color="auto" w:fill="auto"/>
            <w:tcMar>
              <w:top w:w="69" w:type="dxa"/>
              <w:left w:w="69" w:type="dxa"/>
              <w:bottom w:w="69" w:type="dxa"/>
              <w:right w:w="69" w:type="dxa"/>
            </w:tcMar>
            <w:vAlign w:val="center"/>
          </w:tcPr>
          <w:p w14:paraId="2D9D7CC2">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腐熟农家肥 18.75 t/hm² + 钙镁磷肥 937.5 kg/hm²（规程中值）</w:t>
            </w:r>
          </w:p>
        </w:tc>
        <w:tc>
          <w:tcPr>
            <w:tcW w:w="412" w:type="pct"/>
            <w:shd w:val="clear" w:color="auto" w:fill="auto"/>
            <w:tcMar>
              <w:top w:w="69" w:type="dxa"/>
              <w:left w:w="69" w:type="dxa"/>
              <w:bottom w:w="69" w:type="dxa"/>
              <w:right w:w="69" w:type="dxa"/>
            </w:tcMar>
            <w:vAlign w:val="center"/>
          </w:tcPr>
          <w:p w14:paraId="768E0C0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90.5</w:t>
            </w:r>
          </w:p>
        </w:tc>
        <w:tc>
          <w:tcPr>
            <w:tcW w:w="578" w:type="pct"/>
            <w:shd w:val="clear" w:color="auto" w:fill="auto"/>
            <w:tcMar>
              <w:top w:w="69" w:type="dxa"/>
              <w:left w:w="69" w:type="dxa"/>
              <w:bottom w:w="69" w:type="dxa"/>
              <w:right w:w="69" w:type="dxa"/>
            </w:tcMar>
            <w:vAlign w:val="center"/>
          </w:tcPr>
          <w:p w14:paraId="1F6AE68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33.5</w:t>
            </w:r>
          </w:p>
        </w:tc>
        <w:tc>
          <w:tcPr>
            <w:tcW w:w="671" w:type="pct"/>
            <w:shd w:val="clear" w:color="auto" w:fill="auto"/>
            <w:tcMar>
              <w:top w:w="69" w:type="dxa"/>
              <w:left w:w="69" w:type="dxa"/>
              <w:bottom w:w="69" w:type="dxa"/>
              <w:right w:w="69" w:type="dxa"/>
            </w:tcMar>
            <w:vAlign w:val="center"/>
          </w:tcPr>
          <w:p w14:paraId="77F8AFF9">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2.8</w:t>
            </w:r>
          </w:p>
        </w:tc>
        <w:tc>
          <w:tcPr>
            <w:tcW w:w="437" w:type="pct"/>
            <w:shd w:val="clear" w:color="auto" w:fill="auto"/>
            <w:tcMar>
              <w:top w:w="69" w:type="dxa"/>
              <w:left w:w="69" w:type="dxa"/>
              <w:bottom w:w="69" w:type="dxa"/>
              <w:right w:w="69" w:type="dxa"/>
            </w:tcMar>
            <w:vAlign w:val="center"/>
          </w:tcPr>
          <w:p w14:paraId="7D40C104">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10.8</w:t>
            </w:r>
          </w:p>
        </w:tc>
        <w:tc>
          <w:tcPr>
            <w:tcW w:w="547" w:type="pct"/>
            <w:shd w:val="clear" w:color="auto" w:fill="auto"/>
            <w:tcMar>
              <w:top w:w="69" w:type="dxa"/>
              <w:left w:w="69" w:type="dxa"/>
              <w:bottom w:w="69" w:type="dxa"/>
              <w:right w:w="69" w:type="dxa"/>
            </w:tcMar>
            <w:vAlign w:val="center"/>
          </w:tcPr>
          <w:p w14:paraId="34CFDB39">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91.2</w:t>
            </w:r>
          </w:p>
        </w:tc>
        <w:tc>
          <w:tcPr>
            <w:tcW w:w="603" w:type="pct"/>
            <w:shd w:val="clear" w:color="auto" w:fill="auto"/>
            <w:tcMar>
              <w:top w:w="69" w:type="dxa"/>
              <w:left w:w="69" w:type="dxa"/>
              <w:bottom w:w="69" w:type="dxa"/>
              <w:right w:w="69" w:type="dxa"/>
            </w:tcMar>
            <w:vAlign w:val="center"/>
          </w:tcPr>
          <w:p w14:paraId="433CC4B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0</w:t>
            </w:r>
          </w:p>
        </w:tc>
        <w:tc>
          <w:tcPr>
            <w:tcW w:w="398" w:type="pct"/>
            <w:shd w:val="clear" w:color="auto" w:fill="auto"/>
            <w:tcMar>
              <w:top w:w="69" w:type="dxa"/>
              <w:left w:w="69" w:type="dxa"/>
              <w:bottom w:w="69" w:type="dxa"/>
              <w:right w:w="69" w:type="dxa"/>
            </w:tcMar>
            <w:vAlign w:val="center"/>
          </w:tcPr>
          <w:p w14:paraId="75E57CF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最优</w:t>
            </w:r>
          </w:p>
        </w:tc>
      </w:tr>
      <w:tr w14:paraId="16BF9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281" w:type="pct"/>
            <w:shd w:val="clear" w:color="auto" w:fill="auto"/>
            <w:tcMar>
              <w:top w:w="69" w:type="dxa"/>
              <w:left w:w="69" w:type="dxa"/>
              <w:bottom w:w="69" w:type="dxa"/>
              <w:right w:w="69" w:type="dxa"/>
            </w:tcMar>
            <w:vAlign w:val="center"/>
          </w:tcPr>
          <w:p w14:paraId="3D8780A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T4</w:t>
            </w:r>
          </w:p>
        </w:tc>
        <w:tc>
          <w:tcPr>
            <w:tcW w:w="1069" w:type="pct"/>
            <w:shd w:val="clear" w:color="auto" w:fill="auto"/>
            <w:tcMar>
              <w:top w:w="69" w:type="dxa"/>
              <w:left w:w="69" w:type="dxa"/>
              <w:bottom w:w="69" w:type="dxa"/>
              <w:right w:w="69" w:type="dxa"/>
            </w:tcMar>
            <w:vAlign w:val="center"/>
          </w:tcPr>
          <w:p w14:paraId="4BC9251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腐熟农家肥 22.5 t/hm² + 钙镁磷肥 1125 kg/hm²（规程上限）</w:t>
            </w:r>
          </w:p>
        </w:tc>
        <w:tc>
          <w:tcPr>
            <w:tcW w:w="412" w:type="pct"/>
            <w:shd w:val="clear" w:color="auto" w:fill="auto"/>
            <w:tcMar>
              <w:top w:w="69" w:type="dxa"/>
              <w:left w:w="69" w:type="dxa"/>
              <w:bottom w:w="69" w:type="dxa"/>
              <w:right w:w="69" w:type="dxa"/>
            </w:tcMar>
            <w:vAlign w:val="center"/>
          </w:tcPr>
          <w:p w14:paraId="6AD9347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88.6</w:t>
            </w:r>
          </w:p>
        </w:tc>
        <w:tc>
          <w:tcPr>
            <w:tcW w:w="578" w:type="pct"/>
            <w:shd w:val="clear" w:color="auto" w:fill="auto"/>
            <w:tcMar>
              <w:top w:w="69" w:type="dxa"/>
              <w:left w:w="69" w:type="dxa"/>
              <w:bottom w:w="69" w:type="dxa"/>
              <w:right w:w="69" w:type="dxa"/>
            </w:tcMar>
            <w:vAlign w:val="center"/>
          </w:tcPr>
          <w:p w14:paraId="1CD97B1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32.1</w:t>
            </w:r>
          </w:p>
        </w:tc>
        <w:tc>
          <w:tcPr>
            <w:tcW w:w="671" w:type="pct"/>
            <w:shd w:val="clear" w:color="auto" w:fill="auto"/>
            <w:tcMar>
              <w:top w:w="69" w:type="dxa"/>
              <w:left w:w="69" w:type="dxa"/>
              <w:bottom w:w="69" w:type="dxa"/>
              <w:right w:w="69" w:type="dxa"/>
            </w:tcMar>
            <w:vAlign w:val="center"/>
          </w:tcPr>
          <w:p w14:paraId="198122F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2.7</w:t>
            </w:r>
          </w:p>
        </w:tc>
        <w:tc>
          <w:tcPr>
            <w:tcW w:w="437" w:type="pct"/>
            <w:shd w:val="clear" w:color="auto" w:fill="auto"/>
            <w:tcMar>
              <w:top w:w="69" w:type="dxa"/>
              <w:left w:w="69" w:type="dxa"/>
              <w:bottom w:w="69" w:type="dxa"/>
              <w:right w:w="69" w:type="dxa"/>
            </w:tcMar>
            <w:vAlign w:val="center"/>
          </w:tcPr>
          <w:p w14:paraId="0D65397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10.2</w:t>
            </w:r>
          </w:p>
        </w:tc>
        <w:tc>
          <w:tcPr>
            <w:tcW w:w="547" w:type="pct"/>
            <w:shd w:val="clear" w:color="auto" w:fill="auto"/>
            <w:tcMar>
              <w:top w:w="69" w:type="dxa"/>
              <w:left w:w="69" w:type="dxa"/>
              <w:bottom w:w="69" w:type="dxa"/>
              <w:right w:w="69" w:type="dxa"/>
            </w:tcMar>
            <w:vAlign w:val="center"/>
          </w:tcPr>
          <w:p w14:paraId="488C52D2">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88.9</w:t>
            </w:r>
          </w:p>
        </w:tc>
        <w:tc>
          <w:tcPr>
            <w:tcW w:w="603" w:type="pct"/>
            <w:shd w:val="clear" w:color="auto" w:fill="auto"/>
            <w:tcMar>
              <w:top w:w="69" w:type="dxa"/>
              <w:left w:w="69" w:type="dxa"/>
              <w:bottom w:w="69" w:type="dxa"/>
              <w:right w:w="69" w:type="dxa"/>
            </w:tcMar>
            <w:vAlign w:val="center"/>
          </w:tcPr>
          <w:p w14:paraId="4734FDD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0</w:t>
            </w:r>
          </w:p>
        </w:tc>
        <w:tc>
          <w:tcPr>
            <w:tcW w:w="398" w:type="pct"/>
            <w:shd w:val="clear" w:color="auto" w:fill="auto"/>
            <w:tcMar>
              <w:top w:w="69" w:type="dxa"/>
              <w:left w:w="69" w:type="dxa"/>
              <w:bottom w:w="69" w:type="dxa"/>
              <w:right w:w="69" w:type="dxa"/>
            </w:tcMar>
            <w:vAlign w:val="center"/>
          </w:tcPr>
          <w:p w14:paraId="16B24F5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最优</w:t>
            </w:r>
          </w:p>
        </w:tc>
      </w:tr>
      <w:tr w14:paraId="5DA3C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281" w:type="pct"/>
            <w:shd w:val="clear" w:color="auto" w:fill="auto"/>
            <w:tcMar>
              <w:top w:w="69" w:type="dxa"/>
              <w:left w:w="69" w:type="dxa"/>
              <w:bottom w:w="69" w:type="dxa"/>
              <w:right w:w="69" w:type="dxa"/>
            </w:tcMar>
            <w:vAlign w:val="center"/>
          </w:tcPr>
          <w:p w14:paraId="35A17125">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T5</w:t>
            </w:r>
          </w:p>
        </w:tc>
        <w:tc>
          <w:tcPr>
            <w:tcW w:w="1069" w:type="pct"/>
            <w:shd w:val="clear" w:color="auto" w:fill="auto"/>
            <w:tcMar>
              <w:top w:w="69" w:type="dxa"/>
              <w:left w:w="69" w:type="dxa"/>
              <w:bottom w:w="69" w:type="dxa"/>
              <w:right w:w="69" w:type="dxa"/>
            </w:tcMar>
            <w:vAlign w:val="center"/>
          </w:tcPr>
          <w:p w14:paraId="1399D9B2">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腐熟农家肥 28 t/hm² + 钙镁磷肥 1300 kg/hm²（高于规程上限）</w:t>
            </w:r>
          </w:p>
        </w:tc>
        <w:tc>
          <w:tcPr>
            <w:tcW w:w="412" w:type="pct"/>
            <w:shd w:val="clear" w:color="auto" w:fill="auto"/>
            <w:tcMar>
              <w:top w:w="69" w:type="dxa"/>
              <w:left w:w="69" w:type="dxa"/>
              <w:bottom w:w="69" w:type="dxa"/>
              <w:right w:w="69" w:type="dxa"/>
            </w:tcMar>
            <w:vAlign w:val="center"/>
          </w:tcPr>
          <w:p w14:paraId="7BC41E5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81.3</w:t>
            </w:r>
          </w:p>
        </w:tc>
        <w:tc>
          <w:tcPr>
            <w:tcW w:w="578" w:type="pct"/>
            <w:shd w:val="clear" w:color="auto" w:fill="auto"/>
            <w:tcMar>
              <w:top w:w="69" w:type="dxa"/>
              <w:left w:w="69" w:type="dxa"/>
              <w:bottom w:w="69" w:type="dxa"/>
              <w:right w:w="69" w:type="dxa"/>
            </w:tcMar>
            <w:vAlign w:val="center"/>
          </w:tcPr>
          <w:p w14:paraId="6DEE420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34.8</w:t>
            </w:r>
          </w:p>
        </w:tc>
        <w:tc>
          <w:tcPr>
            <w:tcW w:w="671" w:type="pct"/>
            <w:shd w:val="clear" w:color="auto" w:fill="auto"/>
            <w:tcMar>
              <w:top w:w="69" w:type="dxa"/>
              <w:left w:w="69" w:type="dxa"/>
              <w:bottom w:w="69" w:type="dxa"/>
              <w:right w:w="69" w:type="dxa"/>
            </w:tcMar>
            <w:vAlign w:val="center"/>
          </w:tcPr>
          <w:p w14:paraId="6F2F77B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3.0</w:t>
            </w:r>
          </w:p>
        </w:tc>
        <w:tc>
          <w:tcPr>
            <w:tcW w:w="437" w:type="pct"/>
            <w:shd w:val="clear" w:color="auto" w:fill="auto"/>
            <w:tcMar>
              <w:top w:w="69" w:type="dxa"/>
              <w:left w:w="69" w:type="dxa"/>
              <w:bottom w:w="69" w:type="dxa"/>
              <w:right w:w="69" w:type="dxa"/>
            </w:tcMar>
            <w:vAlign w:val="center"/>
          </w:tcPr>
          <w:p w14:paraId="5AD974A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8.6</w:t>
            </w:r>
          </w:p>
        </w:tc>
        <w:tc>
          <w:tcPr>
            <w:tcW w:w="547" w:type="pct"/>
            <w:shd w:val="clear" w:color="auto" w:fill="auto"/>
            <w:tcMar>
              <w:top w:w="69" w:type="dxa"/>
              <w:left w:w="69" w:type="dxa"/>
              <w:bottom w:w="69" w:type="dxa"/>
              <w:right w:w="69" w:type="dxa"/>
            </w:tcMar>
            <w:vAlign w:val="center"/>
          </w:tcPr>
          <w:p w14:paraId="517A61E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72.5</w:t>
            </w:r>
          </w:p>
        </w:tc>
        <w:tc>
          <w:tcPr>
            <w:tcW w:w="603" w:type="pct"/>
            <w:shd w:val="clear" w:color="auto" w:fill="auto"/>
            <w:tcMar>
              <w:top w:w="69" w:type="dxa"/>
              <w:left w:w="69" w:type="dxa"/>
              <w:bottom w:w="69" w:type="dxa"/>
              <w:right w:w="69" w:type="dxa"/>
            </w:tcMar>
            <w:vAlign w:val="center"/>
          </w:tcPr>
          <w:p w14:paraId="779641D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8.7</w:t>
            </w:r>
          </w:p>
        </w:tc>
        <w:tc>
          <w:tcPr>
            <w:tcW w:w="398" w:type="pct"/>
            <w:shd w:val="clear" w:color="auto" w:fill="auto"/>
            <w:tcMar>
              <w:top w:w="69" w:type="dxa"/>
              <w:left w:w="69" w:type="dxa"/>
              <w:bottom w:w="69" w:type="dxa"/>
              <w:right w:w="69" w:type="dxa"/>
            </w:tcMar>
            <w:vAlign w:val="center"/>
          </w:tcPr>
          <w:p w14:paraId="0C30F10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较差</w:t>
            </w:r>
          </w:p>
        </w:tc>
      </w:tr>
      <w:tr w14:paraId="52192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281" w:type="pct"/>
            <w:shd w:val="clear" w:color="auto" w:fill="auto"/>
            <w:tcMar>
              <w:top w:w="69" w:type="dxa"/>
              <w:left w:w="69" w:type="dxa"/>
              <w:bottom w:w="69" w:type="dxa"/>
              <w:right w:w="69" w:type="dxa"/>
            </w:tcMar>
            <w:vAlign w:val="center"/>
          </w:tcPr>
          <w:p w14:paraId="5E47BD1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T6</w:t>
            </w:r>
          </w:p>
        </w:tc>
        <w:tc>
          <w:tcPr>
            <w:tcW w:w="1069" w:type="pct"/>
            <w:shd w:val="clear" w:color="auto" w:fill="auto"/>
            <w:tcMar>
              <w:top w:w="69" w:type="dxa"/>
              <w:left w:w="69" w:type="dxa"/>
              <w:bottom w:w="69" w:type="dxa"/>
              <w:right w:w="69" w:type="dxa"/>
            </w:tcMar>
            <w:vAlign w:val="center"/>
          </w:tcPr>
          <w:p w14:paraId="07DC7F2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仅腐熟农家肥 18.75 t/hm²（无磷肥）</w:t>
            </w:r>
          </w:p>
        </w:tc>
        <w:tc>
          <w:tcPr>
            <w:tcW w:w="412" w:type="pct"/>
            <w:shd w:val="clear" w:color="auto" w:fill="auto"/>
            <w:tcMar>
              <w:top w:w="69" w:type="dxa"/>
              <w:left w:w="69" w:type="dxa"/>
              <w:bottom w:w="69" w:type="dxa"/>
              <w:right w:w="69" w:type="dxa"/>
            </w:tcMar>
            <w:vAlign w:val="center"/>
          </w:tcPr>
          <w:p w14:paraId="41391FB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78.4</w:t>
            </w:r>
          </w:p>
        </w:tc>
        <w:tc>
          <w:tcPr>
            <w:tcW w:w="578" w:type="pct"/>
            <w:shd w:val="clear" w:color="auto" w:fill="auto"/>
            <w:tcMar>
              <w:top w:w="69" w:type="dxa"/>
              <w:left w:w="69" w:type="dxa"/>
              <w:bottom w:w="69" w:type="dxa"/>
              <w:right w:w="69" w:type="dxa"/>
            </w:tcMar>
            <w:vAlign w:val="center"/>
          </w:tcPr>
          <w:p w14:paraId="1404E42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25.9</w:t>
            </w:r>
          </w:p>
        </w:tc>
        <w:tc>
          <w:tcPr>
            <w:tcW w:w="671" w:type="pct"/>
            <w:shd w:val="clear" w:color="auto" w:fill="auto"/>
            <w:tcMar>
              <w:top w:w="69" w:type="dxa"/>
              <w:left w:w="69" w:type="dxa"/>
              <w:bottom w:w="69" w:type="dxa"/>
              <w:right w:w="69" w:type="dxa"/>
            </w:tcMar>
            <w:vAlign w:val="center"/>
          </w:tcPr>
          <w:p w14:paraId="0F69C33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2.2</w:t>
            </w:r>
          </w:p>
        </w:tc>
        <w:tc>
          <w:tcPr>
            <w:tcW w:w="437" w:type="pct"/>
            <w:shd w:val="clear" w:color="auto" w:fill="auto"/>
            <w:tcMar>
              <w:top w:w="69" w:type="dxa"/>
              <w:left w:w="69" w:type="dxa"/>
              <w:bottom w:w="69" w:type="dxa"/>
              <w:right w:w="69" w:type="dxa"/>
            </w:tcMar>
            <w:vAlign w:val="center"/>
          </w:tcPr>
          <w:p w14:paraId="0EF82EB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7.3</w:t>
            </w:r>
          </w:p>
        </w:tc>
        <w:tc>
          <w:tcPr>
            <w:tcW w:w="547" w:type="pct"/>
            <w:shd w:val="clear" w:color="auto" w:fill="auto"/>
            <w:tcMar>
              <w:top w:w="69" w:type="dxa"/>
              <w:left w:w="69" w:type="dxa"/>
              <w:bottom w:w="69" w:type="dxa"/>
              <w:right w:w="69" w:type="dxa"/>
            </w:tcMar>
            <w:vAlign w:val="center"/>
          </w:tcPr>
          <w:p w14:paraId="70BBC04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58.1</w:t>
            </w:r>
          </w:p>
        </w:tc>
        <w:tc>
          <w:tcPr>
            <w:tcW w:w="603" w:type="pct"/>
            <w:shd w:val="clear" w:color="auto" w:fill="auto"/>
            <w:tcMar>
              <w:top w:w="69" w:type="dxa"/>
              <w:left w:w="69" w:type="dxa"/>
              <w:bottom w:w="69" w:type="dxa"/>
              <w:right w:w="69" w:type="dxa"/>
            </w:tcMar>
            <w:vAlign w:val="center"/>
          </w:tcPr>
          <w:p w14:paraId="28E1CF9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0</w:t>
            </w:r>
          </w:p>
        </w:tc>
        <w:tc>
          <w:tcPr>
            <w:tcW w:w="398" w:type="pct"/>
            <w:shd w:val="clear" w:color="auto" w:fill="auto"/>
            <w:tcMar>
              <w:top w:w="69" w:type="dxa"/>
              <w:left w:w="69" w:type="dxa"/>
              <w:bottom w:w="69" w:type="dxa"/>
              <w:right w:w="69" w:type="dxa"/>
            </w:tcMar>
            <w:vAlign w:val="center"/>
          </w:tcPr>
          <w:p w14:paraId="5069403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一般</w:t>
            </w:r>
          </w:p>
        </w:tc>
      </w:tr>
      <w:tr w14:paraId="58537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281" w:type="pct"/>
            <w:shd w:val="clear" w:color="auto" w:fill="auto"/>
            <w:tcMar>
              <w:top w:w="69" w:type="dxa"/>
              <w:left w:w="69" w:type="dxa"/>
              <w:bottom w:w="69" w:type="dxa"/>
              <w:right w:w="69" w:type="dxa"/>
            </w:tcMar>
            <w:vAlign w:val="center"/>
          </w:tcPr>
          <w:p w14:paraId="3313F25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T7</w:t>
            </w:r>
          </w:p>
        </w:tc>
        <w:tc>
          <w:tcPr>
            <w:tcW w:w="1069" w:type="pct"/>
            <w:shd w:val="clear" w:color="auto" w:fill="auto"/>
            <w:tcMar>
              <w:top w:w="69" w:type="dxa"/>
              <w:left w:w="69" w:type="dxa"/>
              <w:bottom w:w="69" w:type="dxa"/>
              <w:right w:w="69" w:type="dxa"/>
            </w:tcMar>
            <w:vAlign w:val="center"/>
          </w:tcPr>
          <w:p w14:paraId="2E91A41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仅钙镁磷肥 937.5 kg/hm²（无农家肥）</w:t>
            </w:r>
          </w:p>
        </w:tc>
        <w:tc>
          <w:tcPr>
            <w:tcW w:w="412" w:type="pct"/>
            <w:shd w:val="clear" w:color="auto" w:fill="auto"/>
            <w:tcMar>
              <w:top w:w="69" w:type="dxa"/>
              <w:left w:w="69" w:type="dxa"/>
              <w:bottom w:w="69" w:type="dxa"/>
              <w:right w:w="69" w:type="dxa"/>
            </w:tcMar>
            <w:vAlign w:val="center"/>
          </w:tcPr>
          <w:p w14:paraId="270126E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70.1</w:t>
            </w:r>
          </w:p>
        </w:tc>
        <w:tc>
          <w:tcPr>
            <w:tcW w:w="578" w:type="pct"/>
            <w:shd w:val="clear" w:color="auto" w:fill="auto"/>
            <w:tcMar>
              <w:top w:w="69" w:type="dxa"/>
              <w:left w:w="69" w:type="dxa"/>
              <w:bottom w:w="69" w:type="dxa"/>
              <w:right w:w="69" w:type="dxa"/>
            </w:tcMar>
            <w:vAlign w:val="center"/>
          </w:tcPr>
          <w:p w14:paraId="791FB45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22.3</w:t>
            </w:r>
          </w:p>
        </w:tc>
        <w:tc>
          <w:tcPr>
            <w:tcW w:w="671" w:type="pct"/>
            <w:shd w:val="clear" w:color="auto" w:fill="auto"/>
            <w:tcMar>
              <w:top w:w="69" w:type="dxa"/>
              <w:left w:w="69" w:type="dxa"/>
              <w:bottom w:w="69" w:type="dxa"/>
              <w:right w:w="69" w:type="dxa"/>
            </w:tcMar>
            <w:vAlign w:val="center"/>
          </w:tcPr>
          <w:p w14:paraId="7B97557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1.9</w:t>
            </w:r>
          </w:p>
        </w:tc>
        <w:tc>
          <w:tcPr>
            <w:tcW w:w="437" w:type="pct"/>
            <w:shd w:val="clear" w:color="auto" w:fill="auto"/>
            <w:tcMar>
              <w:top w:w="69" w:type="dxa"/>
              <w:left w:w="69" w:type="dxa"/>
              <w:bottom w:w="69" w:type="dxa"/>
              <w:right w:w="69" w:type="dxa"/>
            </w:tcMar>
            <w:vAlign w:val="center"/>
          </w:tcPr>
          <w:p w14:paraId="5179CB0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5.1</w:t>
            </w:r>
          </w:p>
        </w:tc>
        <w:tc>
          <w:tcPr>
            <w:tcW w:w="547" w:type="pct"/>
            <w:shd w:val="clear" w:color="auto" w:fill="auto"/>
            <w:tcMar>
              <w:top w:w="69" w:type="dxa"/>
              <w:left w:w="69" w:type="dxa"/>
              <w:bottom w:w="69" w:type="dxa"/>
              <w:right w:w="69" w:type="dxa"/>
            </w:tcMar>
            <w:vAlign w:val="center"/>
          </w:tcPr>
          <w:p w14:paraId="3BE998D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41.8</w:t>
            </w:r>
          </w:p>
        </w:tc>
        <w:tc>
          <w:tcPr>
            <w:tcW w:w="603" w:type="pct"/>
            <w:shd w:val="clear" w:color="auto" w:fill="auto"/>
            <w:tcMar>
              <w:top w:w="69" w:type="dxa"/>
              <w:left w:w="69" w:type="dxa"/>
              <w:bottom w:w="69" w:type="dxa"/>
              <w:right w:w="69" w:type="dxa"/>
            </w:tcMar>
            <w:vAlign w:val="center"/>
          </w:tcPr>
          <w:p w14:paraId="46FD1B9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0</w:t>
            </w:r>
          </w:p>
        </w:tc>
        <w:tc>
          <w:tcPr>
            <w:tcW w:w="398" w:type="pct"/>
            <w:shd w:val="clear" w:color="auto" w:fill="auto"/>
            <w:tcMar>
              <w:top w:w="69" w:type="dxa"/>
              <w:left w:w="69" w:type="dxa"/>
              <w:bottom w:w="69" w:type="dxa"/>
              <w:right w:w="69" w:type="dxa"/>
            </w:tcMar>
            <w:vAlign w:val="center"/>
          </w:tcPr>
          <w:p w14:paraId="1D35371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较差</w:t>
            </w:r>
          </w:p>
        </w:tc>
      </w:tr>
    </w:tbl>
    <w:p w14:paraId="76823DEE">
      <w:pPr>
        <w:spacing w:line="560" w:lineRule="exact"/>
        <w:ind w:firstLine="640" w:firstLineChars="200"/>
        <w:outlineLvl w:val="1"/>
        <w:rPr>
          <w:rFonts w:hint="eastAsia" w:eastAsia="仿宋_GB2312"/>
          <w:color w:val="auto"/>
          <w:sz w:val="32"/>
          <w:szCs w:val="32"/>
          <w:lang w:eastAsia="zh-CN"/>
        </w:rPr>
      </w:pPr>
      <w:r>
        <w:rPr>
          <w:rFonts w:hint="eastAsia" w:eastAsia="仿宋_GB2312"/>
          <w:color w:val="auto"/>
          <w:sz w:val="32"/>
          <w:szCs w:val="32"/>
          <w:lang w:eastAsia="zh-CN"/>
        </w:rPr>
        <w:t>壮苗标准：苗高≥30cm、地径≥2.5mm、根系鲜重≥8g/株、无病虫害及畸形株。施肥量在规程规定区间（T2-T4）时，种苗的成活率（87.8%</w:t>
      </w:r>
      <w:r>
        <w:rPr>
          <w:rFonts w:hint="eastAsia" w:ascii="宋体" w:hAnsi="宋体" w:eastAsia="宋体" w:cs="宋体"/>
          <w:caps w:val="0"/>
          <w:spacing w:val="0"/>
          <w:kern w:val="0"/>
          <w:sz w:val="24"/>
          <w:szCs w:val="24"/>
          <w:lang w:val="en-US" w:eastAsia="zh-CN" w:bidi="ar"/>
        </w:rPr>
        <w:t>～</w:t>
      </w:r>
      <w:r>
        <w:rPr>
          <w:rFonts w:hint="eastAsia" w:eastAsia="仿宋_GB2312"/>
          <w:color w:val="auto"/>
          <w:sz w:val="32"/>
          <w:szCs w:val="32"/>
          <w:lang w:eastAsia="zh-CN"/>
        </w:rPr>
        <w:t>90.5%）、壮苗率（86.7%</w:t>
      </w:r>
      <w:r>
        <w:rPr>
          <w:rFonts w:hint="eastAsia" w:ascii="宋体" w:hAnsi="宋体" w:eastAsia="宋体" w:cs="宋体"/>
          <w:caps w:val="0"/>
          <w:spacing w:val="0"/>
          <w:kern w:val="0"/>
          <w:sz w:val="24"/>
          <w:szCs w:val="24"/>
          <w:lang w:val="en-US" w:eastAsia="zh-CN" w:bidi="ar"/>
        </w:rPr>
        <w:t>～</w:t>
      </w:r>
      <w:r>
        <w:rPr>
          <w:rFonts w:hint="eastAsia" w:eastAsia="仿宋_GB2312"/>
          <w:color w:val="auto"/>
          <w:sz w:val="32"/>
          <w:szCs w:val="32"/>
          <w:lang w:eastAsia="zh-CN"/>
        </w:rPr>
        <w:t>91.2%）均达最高，且无肥害，根系发育最健壮，是兼顾育苗质量与成本的最优施肥量范围；施肥量低于规程区间（T1、CK）：养分供给不足，导致苗高、地径、根系重量显著降低，壮苗率不足60%，难以满足规模化移栽需求；施肥量高于规程区间（T5）：虽苗高、地径数值略高，但出现明显肥害（8.7%），根系发育受阻（鲜重低于T2-T4），种苗木质化程度低，移栽后抗逆性差；单一肥料处理（T6、T7）：效果远不及“农家肥+钙镁磷肥”配施，“有机肥与磷肥协同施用”的科学性。</w:t>
      </w:r>
    </w:p>
    <w:p w14:paraId="0CA47F94">
      <w:pPr>
        <w:spacing w:line="560" w:lineRule="exact"/>
        <w:ind w:firstLine="640" w:firstLineChars="200"/>
        <w:outlineLvl w:val="1"/>
        <w:rPr>
          <w:rFonts w:hint="default" w:eastAsia="仿宋_GB2312"/>
          <w:color w:val="auto"/>
          <w:sz w:val="32"/>
          <w:szCs w:val="32"/>
        </w:rPr>
      </w:pPr>
      <w:r>
        <w:rPr>
          <w:rFonts w:hint="default" w:eastAsia="仿宋_GB2312"/>
          <w:color w:val="auto"/>
          <w:sz w:val="32"/>
          <w:szCs w:val="32"/>
        </w:rPr>
        <w:t>基质选型</w:t>
      </w:r>
      <w:r>
        <w:rPr>
          <w:rFonts w:hint="eastAsia" w:eastAsia="仿宋_GB2312"/>
          <w:color w:val="auto"/>
          <w:sz w:val="32"/>
          <w:szCs w:val="32"/>
          <w:lang w:eastAsia="zh-CN"/>
        </w:rPr>
        <w:t>：</w:t>
      </w:r>
      <w:r>
        <w:rPr>
          <w:rFonts w:hint="default" w:eastAsia="仿宋_GB2312"/>
          <w:color w:val="auto"/>
          <w:sz w:val="32"/>
          <w:szCs w:val="32"/>
        </w:rPr>
        <w:t>细泥沙透气性、排水性极强，可避免南宁雨季苗床积水导致插穗基部腐烂；黄壤保水保肥性适中，能持续为插穗提供水分与养分，二者均适配丛生竹插穗生根的土壤环境需求，避免粘重土壤板结、沙质土保水差的问题。插穗根系集中分布在15cm～30cm土层，该厚度可满足根系伸展空间，同时保证基质疏松度，为生根提供充足氧气。</w:t>
      </w:r>
    </w:p>
    <w:p w14:paraId="6B5A8104">
      <w:pPr>
        <w:spacing w:line="560" w:lineRule="exact"/>
        <w:ind w:firstLine="640" w:firstLineChars="200"/>
        <w:outlineLvl w:val="1"/>
        <w:rPr>
          <w:rFonts w:hint="eastAsia" w:eastAsia="仿宋_GB2312"/>
          <w:color w:val="auto"/>
          <w:sz w:val="32"/>
          <w:szCs w:val="32"/>
          <w:lang w:eastAsia="zh-CN"/>
        </w:rPr>
      </w:pPr>
      <w:r>
        <w:rPr>
          <w:rFonts w:hint="default" w:eastAsia="仿宋_GB2312"/>
          <w:color w:val="auto"/>
          <w:sz w:val="32"/>
          <w:szCs w:val="32"/>
        </w:rPr>
        <w:t>平放可扩大插穗与基质接触面积，利于生根；枝蔸 / 芽体朝上符合竹子萌芽生长极性，避免倒插导致萌芽失败</w:t>
      </w:r>
      <w:r>
        <w:rPr>
          <w:rFonts w:hint="eastAsia" w:eastAsia="仿宋_GB2312"/>
          <w:color w:val="auto"/>
          <w:sz w:val="32"/>
          <w:szCs w:val="32"/>
          <w:lang w:eastAsia="zh-CN"/>
        </w:rPr>
        <w:t>。</w:t>
      </w:r>
      <w:r>
        <w:rPr>
          <w:rFonts w:hint="eastAsia" w:eastAsia="仿宋_GB2312"/>
          <w:color w:val="auto"/>
          <w:sz w:val="32"/>
          <w:szCs w:val="32"/>
        </w:rPr>
        <w:t>生根粉含吲哚丁酸、萘乙酸等生根促进物质，浸泡处理可让药剂渗透插穗内部，激活根原基；黄</w:t>
      </w:r>
      <w:r>
        <w:rPr>
          <w:rFonts w:hint="eastAsia" w:eastAsia="仿宋_GB2312"/>
          <w:color w:val="auto"/>
          <w:sz w:val="32"/>
          <w:szCs w:val="32"/>
          <w:lang w:eastAsia="zh-CN"/>
        </w:rPr>
        <w:t>泥浆</w:t>
      </w:r>
      <w:r>
        <w:rPr>
          <w:rFonts w:hint="eastAsia" w:eastAsia="仿宋_GB2312"/>
          <w:color w:val="auto"/>
          <w:sz w:val="32"/>
          <w:szCs w:val="32"/>
        </w:rPr>
        <w:t>蘸涂可包裹插穗切口，锁住水分、隔绝病菌，同时缓慢释放药剂，适配南宁高温高湿环境，防止切口腐烂、提升生根率。浸泡浓度低、时间长，实现内部促根；蘸浆浓度稍高、附着性强，实现外部防护，双重处理比单一方式生根成活率提升 20% 以上。</w:t>
      </w:r>
    </w:p>
    <w:p w14:paraId="7C889DBD">
      <w:pPr>
        <w:spacing w:line="560" w:lineRule="exact"/>
        <w:ind w:firstLine="640" w:firstLineChars="200"/>
        <w:outlineLvl w:val="1"/>
        <w:rPr>
          <w:rFonts w:hint="default" w:eastAsia="仿宋_GB2312"/>
          <w:color w:val="auto"/>
          <w:sz w:val="32"/>
          <w:szCs w:val="32"/>
        </w:rPr>
      </w:pPr>
      <w:r>
        <w:rPr>
          <w:rFonts w:hint="default" w:eastAsia="仿宋_GB2312"/>
          <w:color w:val="auto"/>
          <w:sz w:val="32"/>
          <w:szCs w:val="32"/>
        </w:rPr>
        <w:t>广西林业科学研究院麻竹、吊丝球竹扦插育苗对比试验：细泥沙+黄壤基质成活率较纯赤红壤高25%；生根粉双重处理插穗生根率达85%以上；空气湿度＞80%时，枝条插穗萎蔫率降低60%。南宁市农林技术推广中心不同扦插密度试验：规程规定的株距/沟间距，种苗壮苗率较密植处理提升30%，病害发生率降低40%。</w:t>
      </w:r>
    </w:p>
    <w:p w14:paraId="17E62CA5">
      <w:pPr>
        <w:spacing w:line="560" w:lineRule="exact"/>
        <w:ind w:firstLine="640" w:firstLineChars="200"/>
        <w:outlineLvl w:val="1"/>
        <w:rPr>
          <w:rFonts w:hint="default" w:eastAsia="仿宋_GB2312"/>
          <w:color w:val="auto"/>
          <w:sz w:val="32"/>
          <w:szCs w:val="32"/>
        </w:rPr>
      </w:pPr>
      <w:r>
        <w:rPr>
          <w:rFonts w:hint="default" w:eastAsia="仿宋_GB2312"/>
          <w:color w:val="auto"/>
          <w:sz w:val="32"/>
          <w:szCs w:val="32"/>
        </w:rPr>
        <w:t>南宁老友粉竹笋主产区（西乡塘、邕宁、武鸣）规模化育苗基地多年实操经验，针对南宁高温多雨、光照强、土壤易板结的特点，优化基质厚度、覆土深度、遮阳保湿方案。麻竹、吊丝球竹种苗繁育田间验证，本条款参数可实现插穗成活率≥80%，壮苗率≥85%，满足老友粉原料竹笋种植的优质种苗需求。</w:t>
      </w:r>
    </w:p>
    <w:p w14:paraId="34C58DEA">
      <w:pPr>
        <w:spacing w:line="560" w:lineRule="exact"/>
        <w:ind w:firstLine="640" w:firstLineChars="200"/>
        <w:outlineLvl w:val="1"/>
        <w:rPr>
          <w:rFonts w:hint="default" w:eastAsia="仿宋_GB2312"/>
          <w:color w:val="auto"/>
          <w:sz w:val="32"/>
          <w:szCs w:val="32"/>
        </w:rPr>
      </w:pPr>
      <w:r>
        <w:rPr>
          <w:rFonts w:hint="default" w:eastAsia="仿宋_GB2312"/>
          <w:color w:val="auto"/>
          <w:sz w:val="32"/>
          <w:szCs w:val="32"/>
        </w:rPr>
        <w:t>分类型扦插方式（枝条 / 母竹 / 笋蔸）</w:t>
      </w:r>
    </w:p>
    <w:p w14:paraId="2AB28EB5">
      <w:pPr>
        <w:spacing w:line="560" w:lineRule="exact"/>
        <w:ind w:firstLine="640" w:firstLineChars="200"/>
        <w:outlineLvl w:val="1"/>
        <w:rPr>
          <w:rFonts w:hint="eastAsia" w:eastAsia="仿宋_GB2312"/>
          <w:color w:val="auto"/>
          <w:sz w:val="32"/>
          <w:szCs w:val="32"/>
          <w:lang w:eastAsia="zh-CN"/>
        </w:rPr>
      </w:pPr>
      <w:r>
        <w:rPr>
          <w:rFonts w:hint="default" w:eastAsia="仿宋_GB2312"/>
          <w:color w:val="auto"/>
          <w:sz w:val="32"/>
          <w:szCs w:val="32"/>
        </w:rPr>
        <w:t>枝条扦插斜插可增大插穗与基质接触面积，利于生根；入土深度兼顾保湿与防烂根，露节保证芽体正常萌发</w:t>
      </w:r>
      <w:r>
        <w:rPr>
          <w:rFonts w:hint="eastAsia" w:eastAsia="仿宋_GB2312"/>
          <w:color w:val="auto"/>
          <w:sz w:val="32"/>
          <w:szCs w:val="32"/>
          <w:lang w:eastAsia="zh-CN"/>
        </w:rPr>
        <w:t>。母竹插穗体量更大、养分储备更多，需更宽间距保证通风与生长空间，避免相互遮光、滋生病害。笋蔸芽体饱满、易萌发，斜靠可固定笋蔸、利于芽向两侧萌发；露附枝可进行光合作用，为生根提供养分，间距适配笋蔸生长空间。</w:t>
      </w:r>
    </w:p>
    <w:p w14:paraId="52207537">
      <w:pPr>
        <w:spacing w:line="560" w:lineRule="exact"/>
        <w:ind w:firstLine="480" w:firstLineChars="200"/>
        <w:outlineLvl w:val="1"/>
        <w:rPr>
          <w:rFonts w:hint="eastAsia" w:eastAsia="仿宋_GB2312"/>
          <w:color w:val="auto"/>
          <w:sz w:val="32"/>
          <w:szCs w:val="32"/>
          <w:lang w:eastAsia="zh-CN"/>
        </w:rPr>
      </w:pPr>
      <w:r>
        <w:rPr>
          <w:rFonts w:ascii="宋体" w:hAnsi="宋体" w:eastAsia="宋体" w:cs="宋体"/>
          <w:sz w:val="24"/>
          <w:szCs w:val="24"/>
        </w:rPr>
        <w:t>生根与生长表现对比</w:t>
      </w:r>
    </w:p>
    <w:tbl>
      <w:tblPr>
        <w:tblStyle w:val="1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1109"/>
        <w:gridCol w:w="1272"/>
        <w:gridCol w:w="1326"/>
        <w:gridCol w:w="2614"/>
        <w:gridCol w:w="2445"/>
      </w:tblGrid>
      <w:tr w14:paraId="200F8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blHeader/>
        </w:trPr>
        <w:tc>
          <w:tcPr>
            <w:tcW w:w="632" w:type="pct"/>
            <w:shd w:val="clear" w:color="auto" w:fill="auto"/>
            <w:tcMar>
              <w:top w:w="69" w:type="dxa"/>
              <w:left w:w="69" w:type="dxa"/>
              <w:bottom w:w="69" w:type="dxa"/>
              <w:right w:w="69" w:type="dxa"/>
            </w:tcMar>
            <w:vAlign w:val="center"/>
          </w:tcPr>
          <w:p w14:paraId="663850B6">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插穗类型</w:t>
            </w:r>
          </w:p>
        </w:tc>
        <w:tc>
          <w:tcPr>
            <w:tcW w:w="725" w:type="pct"/>
            <w:shd w:val="clear" w:color="auto" w:fill="auto"/>
            <w:tcMar>
              <w:top w:w="69" w:type="dxa"/>
              <w:left w:w="69" w:type="dxa"/>
              <w:bottom w:w="69" w:type="dxa"/>
              <w:right w:w="69" w:type="dxa"/>
            </w:tcMar>
            <w:vAlign w:val="center"/>
          </w:tcPr>
          <w:p w14:paraId="0FFE79C9">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生根时间</w:t>
            </w:r>
          </w:p>
        </w:tc>
        <w:tc>
          <w:tcPr>
            <w:tcW w:w="756" w:type="pct"/>
            <w:shd w:val="clear" w:color="auto" w:fill="auto"/>
            <w:tcMar>
              <w:top w:w="69" w:type="dxa"/>
              <w:left w:w="69" w:type="dxa"/>
              <w:bottom w:w="69" w:type="dxa"/>
              <w:right w:w="69" w:type="dxa"/>
            </w:tcMar>
            <w:vAlign w:val="center"/>
          </w:tcPr>
          <w:p w14:paraId="503B699D">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平均根长</w:t>
            </w:r>
          </w:p>
        </w:tc>
        <w:tc>
          <w:tcPr>
            <w:tcW w:w="1490" w:type="pct"/>
            <w:shd w:val="clear" w:color="auto" w:fill="auto"/>
            <w:tcMar>
              <w:top w:w="69" w:type="dxa"/>
              <w:left w:w="69" w:type="dxa"/>
              <w:bottom w:w="69" w:type="dxa"/>
              <w:right w:w="69" w:type="dxa"/>
            </w:tcMar>
            <w:vAlign w:val="center"/>
          </w:tcPr>
          <w:p w14:paraId="3C666C8D">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新梢生长量（3 个月）</w:t>
            </w:r>
          </w:p>
        </w:tc>
        <w:tc>
          <w:tcPr>
            <w:tcW w:w="1393" w:type="pct"/>
            <w:shd w:val="clear" w:color="auto" w:fill="auto"/>
            <w:tcMar>
              <w:top w:w="69" w:type="dxa"/>
              <w:left w:w="69" w:type="dxa"/>
              <w:bottom w:w="69" w:type="dxa"/>
              <w:right w:w="69" w:type="dxa"/>
            </w:tcMar>
            <w:vAlign w:val="center"/>
          </w:tcPr>
          <w:p w14:paraId="25352955">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抗逆性表现</w:t>
            </w:r>
          </w:p>
        </w:tc>
      </w:tr>
      <w:tr w14:paraId="445A4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632" w:type="pct"/>
            <w:shd w:val="clear" w:color="auto" w:fill="auto"/>
            <w:tcMar>
              <w:top w:w="69" w:type="dxa"/>
              <w:left w:w="69" w:type="dxa"/>
              <w:bottom w:w="69" w:type="dxa"/>
              <w:right w:w="69" w:type="dxa"/>
            </w:tcMar>
            <w:vAlign w:val="center"/>
          </w:tcPr>
          <w:p w14:paraId="5E8F3431">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枝条插穗</w:t>
            </w:r>
          </w:p>
        </w:tc>
        <w:tc>
          <w:tcPr>
            <w:tcW w:w="725" w:type="pct"/>
            <w:shd w:val="clear" w:color="auto" w:fill="auto"/>
            <w:tcMar>
              <w:top w:w="69" w:type="dxa"/>
              <w:left w:w="69" w:type="dxa"/>
              <w:bottom w:w="69" w:type="dxa"/>
              <w:right w:w="69" w:type="dxa"/>
            </w:tcMar>
            <w:vAlign w:val="center"/>
          </w:tcPr>
          <w:p w14:paraId="63084DE5">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25</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30 天</w:t>
            </w:r>
          </w:p>
        </w:tc>
        <w:tc>
          <w:tcPr>
            <w:tcW w:w="756" w:type="pct"/>
            <w:shd w:val="clear" w:color="auto" w:fill="auto"/>
            <w:tcMar>
              <w:top w:w="69" w:type="dxa"/>
              <w:left w:w="69" w:type="dxa"/>
              <w:bottom w:w="69" w:type="dxa"/>
              <w:right w:w="69" w:type="dxa"/>
            </w:tcMar>
            <w:vAlign w:val="center"/>
          </w:tcPr>
          <w:p w14:paraId="4DBCBC3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8.5cm</w:t>
            </w:r>
          </w:p>
        </w:tc>
        <w:tc>
          <w:tcPr>
            <w:tcW w:w="1490" w:type="pct"/>
            <w:shd w:val="clear" w:color="auto" w:fill="auto"/>
            <w:tcMar>
              <w:top w:w="69" w:type="dxa"/>
              <w:left w:w="69" w:type="dxa"/>
              <w:bottom w:w="69" w:type="dxa"/>
              <w:right w:w="69" w:type="dxa"/>
            </w:tcMar>
            <w:vAlign w:val="center"/>
          </w:tcPr>
          <w:p w14:paraId="4EED423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45cm</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55cm</w:t>
            </w:r>
          </w:p>
        </w:tc>
        <w:tc>
          <w:tcPr>
            <w:tcW w:w="1393" w:type="pct"/>
            <w:shd w:val="clear" w:color="auto" w:fill="auto"/>
            <w:tcMar>
              <w:top w:w="69" w:type="dxa"/>
              <w:left w:w="69" w:type="dxa"/>
              <w:bottom w:w="69" w:type="dxa"/>
              <w:right w:w="69" w:type="dxa"/>
            </w:tcMar>
            <w:vAlign w:val="center"/>
          </w:tcPr>
          <w:p w14:paraId="47A449A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中等，适合苗圃培育</w:t>
            </w:r>
          </w:p>
        </w:tc>
      </w:tr>
      <w:tr w14:paraId="3B268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632" w:type="pct"/>
            <w:shd w:val="clear" w:color="auto" w:fill="auto"/>
            <w:tcMar>
              <w:top w:w="69" w:type="dxa"/>
              <w:left w:w="69" w:type="dxa"/>
              <w:bottom w:w="69" w:type="dxa"/>
              <w:right w:w="69" w:type="dxa"/>
            </w:tcMar>
            <w:vAlign w:val="center"/>
          </w:tcPr>
          <w:p w14:paraId="20EF4682">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母竹插穗</w:t>
            </w:r>
          </w:p>
        </w:tc>
        <w:tc>
          <w:tcPr>
            <w:tcW w:w="725" w:type="pct"/>
            <w:shd w:val="clear" w:color="auto" w:fill="auto"/>
            <w:tcMar>
              <w:top w:w="69" w:type="dxa"/>
              <w:left w:w="69" w:type="dxa"/>
              <w:bottom w:w="69" w:type="dxa"/>
              <w:right w:w="69" w:type="dxa"/>
            </w:tcMar>
            <w:vAlign w:val="center"/>
          </w:tcPr>
          <w:p w14:paraId="10E4384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15</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20 天</w:t>
            </w:r>
          </w:p>
        </w:tc>
        <w:tc>
          <w:tcPr>
            <w:tcW w:w="756" w:type="pct"/>
            <w:shd w:val="clear" w:color="auto" w:fill="auto"/>
            <w:tcMar>
              <w:top w:w="69" w:type="dxa"/>
              <w:left w:w="69" w:type="dxa"/>
              <w:bottom w:w="69" w:type="dxa"/>
              <w:right w:w="69" w:type="dxa"/>
            </w:tcMar>
            <w:vAlign w:val="center"/>
          </w:tcPr>
          <w:p w14:paraId="4C3EBA3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12.3cm</w:t>
            </w:r>
          </w:p>
        </w:tc>
        <w:tc>
          <w:tcPr>
            <w:tcW w:w="1490" w:type="pct"/>
            <w:shd w:val="clear" w:color="auto" w:fill="auto"/>
            <w:tcMar>
              <w:top w:w="69" w:type="dxa"/>
              <w:left w:w="69" w:type="dxa"/>
              <w:bottom w:w="69" w:type="dxa"/>
              <w:right w:w="69" w:type="dxa"/>
            </w:tcMar>
            <w:vAlign w:val="center"/>
          </w:tcPr>
          <w:p w14:paraId="502F812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60cm</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70cm</w:t>
            </w:r>
          </w:p>
        </w:tc>
        <w:tc>
          <w:tcPr>
            <w:tcW w:w="1393" w:type="pct"/>
            <w:shd w:val="clear" w:color="auto" w:fill="auto"/>
            <w:tcMar>
              <w:top w:w="69" w:type="dxa"/>
              <w:left w:w="69" w:type="dxa"/>
              <w:bottom w:w="69" w:type="dxa"/>
              <w:right w:w="69" w:type="dxa"/>
            </w:tcMar>
            <w:vAlign w:val="center"/>
          </w:tcPr>
          <w:p w14:paraId="5756706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强，适合荒山造林</w:t>
            </w:r>
          </w:p>
        </w:tc>
      </w:tr>
      <w:tr w14:paraId="38BAD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632" w:type="pct"/>
            <w:shd w:val="clear" w:color="auto" w:fill="auto"/>
            <w:tcMar>
              <w:top w:w="69" w:type="dxa"/>
              <w:left w:w="69" w:type="dxa"/>
              <w:bottom w:w="69" w:type="dxa"/>
              <w:right w:w="69" w:type="dxa"/>
            </w:tcMar>
            <w:vAlign w:val="center"/>
          </w:tcPr>
          <w:p w14:paraId="35E1D6CF">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笋蔸插穗</w:t>
            </w:r>
          </w:p>
        </w:tc>
        <w:tc>
          <w:tcPr>
            <w:tcW w:w="725" w:type="pct"/>
            <w:shd w:val="clear" w:color="auto" w:fill="auto"/>
            <w:tcMar>
              <w:top w:w="69" w:type="dxa"/>
              <w:left w:w="69" w:type="dxa"/>
              <w:bottom w:w="69" w:type="dxa"/>
              <w:right w:w="69" w:type="dxa"/>
            </w:tcMar>
            <w:vAlign w:val="center"/>
          </w:tcPr>
          <w:p w14:paraId="1B6FCB2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20</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25 天</w:t>
            </w:r>
          </w:p>
        </w:tc>
        <w:tc>
          <w:tcPr>
            <w:tcW w:w="756" w:type="pct"/>
            <w:shd w:val="clear" w:color="auto" w:fill="auto"/>
            <w:tcMar>
              <w:top w:w="69" w:type="dxa"/>
              <w:left w:w="69" w:type="dxa"/>
              <w:bottom w:w="69" w:type="dxa"/>
              <w:right w:w="69" w:type="dxa"/>
            </w:tcMar>
            <w:vAlign w:val="center"/>
          </w:tcPr>
          <w:p w14:paraId="7E06071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10.1cm</w:t>
            </w:r>
          </w:p>
        </w:tc>
        <w:tc>
          <w:tcPr>
            <w:tcW w:w="1490" w:type="pct"/>
            <w:shd w:val="clear" w:color="auto" w:fill="auto"/>
            <w:tcMar>
              <w:top w:w="69" w:type="dxa"/>
              <w:left w:w="69" w:type="dxa"/>
              <w:bottom w:w="69" w:type="dxa"/>
              <w:right w:w="69" w:type="dxa"/>
            </w:tcMar>
            <w:vAlign w:val="center"/>
          </w:tcPr>
          <w:p w14:paraId="6895374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50cm</w:t>
            </w:r>
            <w:r>
              <w:rPr>
                <w:rFonts w:hint="eastAsia" w:ascii="宋体" w:hAnsi="宋体" w:eastAsia="宋体" w:cs="宋体"/>
                <w:caps w:val="0"/>
                <w:spacing w:val="0"/>
                <w:kern w:val="0"/>
                <w:sz w:val="24"/>
                <w:szCs w:val="24"/>
                <w:lang w:val="en-US" w:eastAsia="zh-CN" w:bidi="ar"/>
              </w:rPr>
              <w:t>～</w:t>
            </w:r>
            <w:r>
              <w:rPr>
                <w:rFonts w:hint="default" w:ascii="宋体" w:hAnsi="宋体" w:eastAsia="宋体" w:cs="宋体"/>
                <w:caps w:val="0"/>
                <w:spacing w:val="0"/>
                <w:kern w:val="0"/>
                <w:sz w:val="24"/>
                <w:szCs w:val="24"/>
                <w:lang w:val="en-US" w:eastAsia="zh-CN" w:bidi="ar"/>
              </w:rPr>
              <w:t>60cm</w:t>
            </w:r>
          </w:p>
        </w:tc>
        <w:tc>
          <w:tcPr>
            <w:tcW w:w="1393" w:type="pct"/>
            <w:shd w:val="clear" w:color="auto" w:fill="auto"/>
            <w:tcMar>
              <w:top w:w="69" w:type="dxa"/>
              <w:left w:w="69" w:type="dxa"/>
              <w:bottom w:w="69" w:type="dxa"/>
              <w:right w:w="69" w:type="dxa"/>
            </w:tcMar>
            <w:vAlign w:val="center"/>
          </w:tcPr>
          <w:p w14:paraId="2DC1E8F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较强，适合笋用林培育</w:t>
            </w:r>
          </w:p>
        </w:tc>
      </w:tr>
    </w:tbl>
    <w:p w14:paraId="32B2C029">
      <w:pPr>
        <w:spacing w:line="560" w:lineRule="exact"/>
        <w:ind w:firstLine="640" w:firstLineChars="200"/>
        <w:outlineLvl w:val="1"/>
        <w:rPr>
          <w:rFonts w:hint="default" w:eastAsia="仿宋_GB2312"/>
          <w:color w:val="auto"/>
          <w:sz w:val="32"/>
          <w:szCs w:val="32"/>
          <w:lang w:val="en-US" w:eastAsia="zh-CN"/>
        </w:rPr>
      </w:pPr>
      <w:r>
        <w:rPr>
          <w:rFonts w:hint="default" w:eastAsia="仿宋_GB2312"/>
          <w:color w:val="auto"/>
          <w:sz w:val="32"/>
          <w:szCs w:val="32"/>
          <w:lang w:val="en-US" w:eastAsia="zh-CN"/>
        </w:rPr>
        <w:t>容器育苗</w:t>
      </w:r>
    </w:p>
    <w:p w14:paraId="0722E82F">
      <w:pPr>
        <w:spacing w:line="560" w:lineRule="exact"/>
        <w:ind w:firstLine="640" w:firstLineChars="200"/>
        <w:outlineLvl w:val="1"/>
        <w:rPr>
          <w:rFonts w:hint="default" w:eastAsia="仿宋_GB2312"/>
          <w:color w:val="auto"/>
          <w:sz w:val="32"/>
          <w:szCs w:val="32"/>
        </w:rPr>
      </w:pPr>
      <w:r>
        <w:rPr>
          <w:rFonts w:hint="default" w:eastAsia="仿宋_GB2312"/>
          <w:color w:val="auto"/>
          <w:sz w:val="32"/>
          <w:szCs w:val="32"/>
        </w:rPr>
        <w:t>枝条插穗体积小、基径适中（≥1.8cm），契合小型育苗容器的空间限制；母竹、笋蔸体量较大，无法装入标准容器培育，仅枝条适合容器集约化育苗。枝条繁殖系数是母竹的 10 倍以上，可快速满足老友粉竹笋种植的容器苗批量需求，降低育苗成本。全新塑料材质无病菌、无重金属污染，避免种苗带毒带菌；无纺布容器透气、透水、不窝根，移栽时可直接定植无需脱盆，适配南宁竹笋种植户山地、坡地移栽场景，大幅提升定植成活率。</w:t>
      </w:r>
    </w:p>
    <w:p w14:paraId="50A3C4AC">
      <w:pPr>
        <w:spacing w:line="560" w:lineRule="exact"/>
        <w:ind w:firstLine="640" w:firstLineChars="200"/>
        <w:outlineLvl w:val="1"/>
        <w:rPr>
          <w:rFonts w:hint="eastAsia" w:eastAsia="仿宋_GB2312"/>
          <w:color w:val="auto"/>
          <w:sz w:val="32"/>
          <w:szCs w:val="32"/>
          <w:lang w:eastAsia="zh-CN"/>
        </w:rPr>
      </w:pPr>
      <w:r>
        <w:rPr>
          <w:rFonts w:hint="default" w:eastAsia="仿宋_GB2312"/>
          <w:color w:val="auto"/>
          <w:sz w:val="32"/>
          <w:szCs w:val="32"/>
        </w:rPr>
        <w:t>LY/T 1000-2017《林业育苗容器技术规程》对塑料/无纺布容器的材质、规格、壁厚、排水孔等作出要求</w:t>
      </w:r>
      <w:r>
        <w:rPr>
          <w:rFonts w:hint="eastAsia" w:eastAsia="仿宋_GB2312"/>
          <w:color w:val="auto"/>
          <w:sz w:val="32"/>
          <w:szCs w:val="32"/>
          <w:lang w:eastAsia="zh-CN"/>
        </w:rPr>
        <w:t>。</w:t>
      </w:r>
    </w:p>
    <w:p w14:paraId="2EB1AC15">
      <w:pPr>
        <w:spacing w:line="560" w:lineRule="exact"/>
        <w:ind w:firstLine="640" w:firstLineChars="200"/>
        <w:outlineLvl w:val="1"/>
        <w:rPr>
          <w:rFonts w:hint="default" w:eastAsia="仿宋_GB2312"/>
          <w:color w:val="auto"/>
          <w:sz w:val="32"/>
          <w:szCs w:val="32"/>
        </w:rPr>
      </w:pPr>
      <w:r>
        <w:rPr>
          <w:rFonts w:hint="default" w:eastAsia="仿宋_GB2312"/>
          <w:color w:val="auto"/>
          <w:sz w:val="32"/>
          <w:szCs w:val="32"/>
        </w:rPr>
        <w:t>基质配置：黄心土+轻基质+磷肥+生物有机肥配比</w:t>
      </w:r>
    </w:p>
    <w:p w14:paraId="0FB4D925">
      <w:pPr>
        <w:spacing w:line="560" w:lineRule="exact"/>
        <w:ind w:firstLine="640" w:firstLineChars="200"/>
        <w:outlineLvl w:val="1"/>
        <w:rPr>
          <w:rFonts w:hint="default" w:eastAsia="仿宋_GB2312"/>
          <w:color w:val="auto"/>
          <w:sz w:val="32"/>
          <w:szCs w:val="32"/>
        </w:rPr>
      </w:pPr>
      <w:r>
        <w:rPr>
          <w:rFonts w:hint="default" w:eastAsia="仿宋_GB2312"/>
          <w:color w:val="auto"/>
          <w:sz w:val="32"/>
          <w:szCs w:val="32"/>
        </w:rPr>
        <w:t>黄心土是南宁本地易得原料，质地疏松、保水固根性好，无病菌虫卵，可作为基质骨架，固定插穗防止倒伏，适配丛生竹根系附着生长。南宁赤红壤易板结，轻基质可提升基质透气性、孔隙度，防止容器内基质板结缺氧，同时减少基质重量，方便容器苗搬运。磷肥促进插穗生根、促壮，解决容器内养分有限的问题；生物有机肥温和供肥、改良基质微环境，避免化肥烧根，培育健壮种苗，保证成苗后符合老友粉原料竹种植要求。</w:t>
      </w:r>
    </w:p>
    <w:p w14:paraId="7ABCFCC0">
      <w:pPr>
        <w:spacing w:line="560" w:lineRule="exact"/>
        <w:ind w:firstLine="480" w:firstLineChars="200"/>
        <w:outlineLvl w:val="1"/>
        <w:rPr>
          <w:rFonts w:hint="default" w:eastAsia="仿宋_GB2312"/>
          <w:color w:val="auto"/>
          <w:sz w:val="32"/>
          <w:szCs w:val="32"/>
        </w:rPr>
      </w:pPr>
      <w:r>
        <w:rPr>
          <w:rFonts w:ascii="宋体" w:hAnsi="宋体" w:eastAsia="宋体" w:cs="宋体"/>
          <w:sz w:val="24"/>
          <w:szCs w:val="24"/>
        </w:rPr>
        <w:t>容器育苗基质配比对比试验效果</w:t>
      </w:r>
    </w:p>
    <w:tbl>
      <w:tblPr>
        <w:tblStyle w:val="10"/>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981"/>
        <w:gridCol w:w="1397"/>
        <w:gridCol w:w="1028"/>
        <w:gridCol w:w="1000"/>
        <w:gridCol w:w="935"/>
        <w:gridCol w:w="874"/>
        <w:gridCol w:w="1004"/>
        <w:gridCol w:w="1023"/>
        <w:gridCol w:w="523"/>
      </w:tblGrid>
      <w:tr w14:paraId="0CB9B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blHeader/>
        </w:trPr>
        <w:tc>
          <w:tcPr>
            <w:tcW w:w="560" w:type="pct"/>
            <w:shd w:val="clear" w:color="auto" w:fill="auto"/>
            <w:tcMar>
              <w:top w:w="69" w:type="dxa"/>
              <w:left w:w="69" w:type="dxa"/>
              <w:bottom w:w="69" w:type="dxa"/>
              <w:right w:w="69" w:type="dxa"/>
            </w:tcMar>
            <w:vAlign w:val="center"/>
          </w:tcPr>
          <w:p w14:paraId="7A7FDFE7">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处理编号</w:t>
            </w:r>
          </w:p>
        </w:tc>
        <w:tc>
          <w:tcPr>
            <w:tcW w:w="796" w:type="pct"/>
            <w:shd w:val="clear" w:color="auto" w:fill="auto"/>
            <w:tcMar>
              <w:top w:w="69" w:type="dxa"/>
              <w:left w:w="69" w:type="dxa"/>
              <w:bottom w:w="69" w:type="dxa"/>
              <w:right w:w="69" w:type="dxa"/>
            </w:tcMar>
            <w:vAlign w:val="center"/>
          </w:tcPr>
          <w:p w14:paraId="5551136B">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基质配比（体积比）</w:t>
            </w:r>
          </w:p>
        </w:tc>
        <w:tc>
          <w:tcPr>
            <w:tcW w:w="586" w:type="pct"/>
            <w:shd w:val="clear" w:color="auto" w:fill="auto"/>
            <w:tcMar>
              <w:top w:w="69" w:type="dxa"/>
              <w:left w:w="69" w:type="dxa"/>
              <w:bottom w:w="69" w:type="dxa"/>
              <w:right w:w="69" w:type="dxa"/>
            </w:tcMar>
            <w:vAlign w:val="center"/>
          </w:tcPr>
          <w:p w14:paraId="361CED62">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扦插成活率（%）</w:t>
            </w:r>
          </w:p>
        </w:tc>
        <w:tc>
          <w:tcPr>
            <w:tcW w:w="570" w:type="pct"/>
            <w:shd w:val="clear" w:color="auto" w:fill="auto"/>
            <w:tcMar>
              <w:top w:w="69" w:type="dxa"/>
              <w:left w:w="69" w:type="dxa"/>
              <w:bottom w:w="69" w:type="dxa"/>
              <w:right w:w="69" w:type="dxa"/>
            </w:tcMar>
            <w:vAlign w:val="center"/>
          </w:tcPr>
          <w:p w14:paraId="619B0676">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平均苗高（cm）</w:t>
            </w:r>
          </w:p>
        </w:tc>
        <w:tc>
          <w:tcPr>
            <w:tcW w:w="533" w:type="pct"/>
            <w:shd w:val="clear" w:color="auto" w:fill="auto"/>
            <w:tcMar>
              <w:top w:w="69" w:type="dxa"/>
              <w:left w:w="69" w:type="dxa"/>
              <w:bottom w:w="69" w:type="dxa"/>
              <w:right w:w="69" w:type="dxa"/>
            </w:tcMar>
            <w:vAlign w:val="center"/>
          </w:tcPr>
          <w:p w14:paraId="2D155778">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平均地径（mm）</w:t>
            </w:r>
          </w:p>
        </w:tc>
        <w:tc>
          <w:tcPr>
            <w:tcW w:w="498" w:type="pct"/>
            <w:shd w:val="clear" w:color="auto" w:fill="auto"/>
            <w:tcMar>
              <w:top w:w="69" w:type="dxa"/>
              <w:left w:w="69" w:type="dxa"/>
              <w:bottom w:w="69" w:type="dxa"/>
              <w:right w:w="69" w:type="dxa"/>
            </w:tcMar>
            <w:vAlign w:val="center"/>
          </w:tcPr>
          <w:p w14:paraId="7369F289">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根系鲜重（g / 株）</w:t>
            </w:r>
          </w:p>
        </w:tc>
        <w:tc>
          <w:tcPr>
            <w:tcW w:w="572" w:type="pct"/>
            <w:shd w:val="clear" w:color="auto" w:fill="auto"/>
            <w:tcMar>
              <w:top w:w="69" w:type="dxa"/>
              <w:left w:w="69" w:type="dxa"/>
              <w:bottom w:w="69" w:type="dxa"/>
              <w:right w:w="69" w:type="dxa"/>
            </w:tcMar>
            <w:vAlign w:val="center"/>
          </w:tcPr>
          <w:p w14:paraId="2F4FCBA1">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壮苗率（%）①</w:t>
            </w:r>
          </w:p>
        </w:tc>
        <w:tc>
          <w:tcPr>
            <w:tcW w:w="583" w:type="pct"/>
            <w:shd w:val="clear" w:color="auto" w:fill="auto"/>
            <w:tcMar>
              <w:top w:w="69" w:type="dxa"/>
              <w:left w:w="69" w:type="dxa"/>
              <w:bottom w:w="69" w:type="dxa"/>
              <w:right w:w="69" w:type="dxa"/>
            </w:tcMar>
            <w:vAlign w:val="center"/>
          </w:tcPr>
          <w:p w14:paraId="1186A2B7">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病害发生率（%）②</w:t>
            </w:r>
          </w:p>
        </w:tc>
        <w:tc>
          <w:tcPr>
            <w:tcW w:w="298" w:type="pct"/>
            <w:shd w:val="clear" w:color="auto" w:fill="auto"/>
            <w:tcMar>
              <w:top w:w="69" w:type="dxa"/>
              <w:left w:w="69" w:type="dxa"/>
              <w:bottom w:w="69" w:type="dxa"/>
              <w:right w:w="69" w:type="dxa"/>
            </w:tcMar>
            <w:vAlign w:val="center"/>
          </w:tcPr>
          <w:p w14:paraId="47335904">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综合评价</w:t>
            </w:r>
          </w:p>
        </w:tc>
      </w:tr>
      <w:tr w14:paraId="478C0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560" w:type="pct"/>
            <w:shd w:val="clear" w:color="auto" w:fill="auto"/>
            <w:tcMar>
              <w:top w:w="69" w:type="dxa"/>
              <w:left w:w="69" w:type="dxa"/>
              <w:bottom w:w="69" w:type="dxa"/>
              <w:right w:w="69" w:type="dxa"/>
            </w:tcMar>
            <w:vAlign w:val="center"/>
          </w:tcPr>
          <w:p w14:paraId="191EF42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T0（</w:t>
            </w:r>
            <w:r>
              <w:rPr>
                <w:rFonts w:hint="eastAsia" w:ascii="宋体" w:hAnsi="宋体" w:eastAsia="宋体" w:cs="宋体"/>
                <w:caps w:val="0"/>
                <w:spacing w:val="0"/>
                <w:kern w:val="0"/>
                <w:sz w:val="24"/>
                <w:szCs w:val="24"/>
                <w:lang w:val="en-US" w:eastAsia="zh-CN" w:bidi="ar"/>
              </w:rPr>
              <w:t>标准</w:t>
            </w:r>
            <w:r>
              <w:rPr>
                <w:rFonts w:hint="default" w:ascii="宋体" w:hAnsi="宋体" w:eastAsia="宋体" w:cs="宋体"/>
                <w:caps w:val="0"/>
                <w:spacing w:val="0"/>
                <w:kern w:val="0"/>
                <w:sz w:val="24"/>
                <w:szCs w:val="24"/>
                <w:lang w:val="en-US" w:eastAsia="zh-CN" w:bidi="ar"/>
              </w:rPr>
              <w:t>推荐组）</w:t>
            </w:r>
          </w:p>
        </w:tc>
        <w:tc>
          <w:tcPr>
            <w:tcW w:w="796" w:type="pct"/>
            <w:shd w:val="clear" w:color="auto" w:fill="auto"/>
            <w:tcMar>
              <w:top w:w="69" w:type="dxa"/>
              <w:left w:w="69" w:type="dxa"/>
              <w:bottom w:w="69" w:type="dxa"/>
              <w:right w:w="69" w:type="dxa"/>
            </w:tcMar>
            <w:vAlign w:val="center"/>
          </w:tcPr>
          <w:p w14:paraId="624870E0">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黄心土55%+椰糠35%+镁磷肥5%+生物有机肥5%</w:t>
            </w:r>
          </w:p>
        </w:tc>
        <w:tc>
          <w:tcPr>
            <w:tcW w:w="586" w:type="pct"/>
            <w:shd w:val="clear" w:color="auto" w:fill="auto"/>
            <w:tcMar>
              <w:top w:w="69" w:type="dxa"/>
              <w:left w:w="69" w:type="dxa"/>
              <w:bottom w:w="69" w:type="dxa"/>
              <w:right w:w="69" w:type="dxa"/>
            </w:tcMar>
            <w:vAlign w:val="center"/>
          </w:tcPr>
          <w:p w14:paraId="7186D859">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90.2</w:t>
            </w:r>
          </w:p>
        </w:tc>
        <w:tc>
          <w:tcPr>
            <w:tcW w:w="570" w:type="pct"/>
            <w:shd w:val="clear" w:color="auto" w:fill="auto"/>
            <w:tcMar>
              <w:top w:w="69" w:type="dxa"/>
              <w:left w:w="69" w:type="dxa"/>
              <w:bottom w:w="69" w:type="dxa"/>
              <w:right w:w="69" w:type="dxa"/>
            </w:tcMar>
            <w:vAlign w:val="center"/>
          </w:tcPr>
          <w:p w14:paraId="49595A9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34.6</w:t>
            </w:r>
          </w:p>
        </w:tc>
        <w:tc>
          <w:tcPr>
            <w:tcW w:w="533" w:type="pct"/>
            <w:shd w:val="clear" w:color="auto" w:fill="auto"/>
            <w:tcMar>
              <w:top w:w="69" w:type="dxa"/>
              <w:left w:w="69" w:type="dxa"/>
              <w:bottom w:w="69" w:type="dxa"/>
              <w:right w:w="69" w:type="dxa"/>
            </w:tcMar>
            <w:vAlign w:val="center"/>
          </w:tcPr>
          <w:p w14:paraId="7C15734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2.9</w:t>
            </w:r>
          </w:p>
        </w:tc>
        <w:tc>
          <w:tcPr>
            <w:tcW w:w="498" w:type="pct"/>
            <w:shd w:val="clear" w:color="auto" w:fill="auto"/>
            <w:tcMar>
              <w:top w:w="69" w:type="dxa"/>
              <w:left w:w="69" w:type="dxa"/>
              <w:bottom w:w="69" w:type="dxa"/>
              <w:right w:w="69" w:type="dxa"/>
            </w:tcMar>
            <w:vAlign w:val="center"/>
          </w:tcPr>
          <w:p w14:paraId="3D82CC82">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11.3</w:t>
            </w:r>
          </w:p>
        </w:tc>
        <w:tc>
          <w:tcPr>
            <w:tcW w:w="572" w:type="pct"/>
            <w:shd w:val="clear" w:color="auto" w:fill="auto"/>
            <w:tcMar>
              <w:top w:w="69" w:type="dxa"/>
              <w:left w:w="69" w:type="dxa"/>
              <w:bottom w:w="69" w:type="dxa"/>
              <w:right w:w="69" w:type="dxa"/>
            </w:tcMar>
            <w:vAlign w:val="center"/>
          </w:tcPr>
          <w:p w14:paraId="4F7A61A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92.5</w:t>
            </w:r>
          </w:p>
        </w:tc>
        <w:tc>
          <w:tcPr>
            <w:tcW w:w="583" w:type="pct"/>
            <w:shd w:val="clear" w:color="auto" w:fill="auto"/>
            <w:tcMar>
              <w:top w:w="69" w:type="dxa"/>
              <w:left w:w="69" w:type="dxa"/>
              <w:bottom w:w="69" w:type="dxa"/>
              <w:right w:w="69" w:type="dxa"/>
            </w:tcMar>
            <w:vAlign w:val="center"/>
          </w:tcPr>
          <w:p w14:paraId="5FD326F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3.1</w:t>
            </w:r>
          </w:p>
        </w:tc>
        <w:tc>
          <w:tcPr>
            <w:tcW w:w="298" w:type="pct"/>
            <w:shd w:val="clear" w:color="auto" w:fill="auto"/>
            <w:tcMar>
              <w:top w:w="69" w:type="dxa"/>
              <w:left w:w="69" w:type="dxa"/>
              <w:bottom w:w="69" w:type="dxa"/>
              <w:right w:w="69" w:type="dxa"/>
            </w:tcMar>
            <w:vAlign w:val="center"/>
          </w:tcPr>
          <w:p w14:paraId="15B1413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最优</w:t>
            </w:r>
          </w:p>
        </w:tc>
      </w:tr>
      <w:tr w14:paraId="29813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560" w:type="pct"/>
            <w:shd w:val="clear" w:color="auto" w:fill="auto"/>
            <w:tcMar>
              <w:top w:w="69" w:type="dxa"/>
              <w:left w:w="69" w:type="dxa"/>
              <w:bottom w:w="69" w:type="dxa"/>
              <w:right w:w="69" w:type="dxa"/>
            </w:tcMar>
            <w:vAlign w:val="center"/>
          </w:tcPr>
          <w:p w14:paraId="2A87C6B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T1（纯黄心土）</w:t>
            </w:r>
          </w:p>
        </w:tc>
        <w:tc>
          <w:tcPr>
            <w:tcW w:w="796" w:type="pct"/>
            <w:shd w:val="clear" w:color="auto" w:fill="auto"/>
            <w:tcMar>
              <w:top w:w="69" w:type="dxa"/>
              <w:left w:w="69" w:type="dxa"/>
              <w:bottom w:w="69" w:type="dxa"/>
              <w:right w:w="69" w:type="dxa"/>
            </w:tcMar>
            <w:vAlign w:val="center"/>
          </w:tcPr>
          <w:p w14:paraId="2428B6B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黄心土100%</w:t>
            </w:r>
          </w:p>
        </w:tc>
        <w:tc>
          <w:tcPr>
            <w:tcW w:w="586" w:type="pct"/>
            <w:shd w:val="clear" w:color="auto" w:fill="auto"/>
            <w:tcMar>
              <w:top w:w="69" w:type="dxa"/>
              <w:left w:w="69" w:type="dxa"/>
              <w:bottom w:w="69" w:type="dxa"/>
              <w:right w:w="69" w:type="dxa"/>
            </w:tcMar>
            <w:vAlign w:val="center"/>
          </w:tcPr>
          <w:p w14:paraId="64F4269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65.8</w:t>
            </w:r>
          </w:p>
        </w:tc>
        <w:tc>
          <w:tcPr>
            <w:tcW w:w="570" w:type="pct"/>
            <w:shd w:val="clear" w:color="auto" w:fill="auto"/>
            <w:tcMar>
              <w:top w:w="69" w:type="dxa"/>
              <w:left w:w="69" w:type="dxa"/>
              <w:bottom w:w="69" w:type="dxa"/>
              <w:right w:w="69" w:type="dxa"/>
            </w:tcMar>
            <w:vAlign w:val="center"/>
          </w:tcPr>
          <w:p w14:paraId="00F896D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22.3</w:t>
            </w:r>
          </w:p>
        </w:tc>
        <w:tc>
          <w:tcPr>
            <w:tcW w:w="533" w:type="pct"/>
            <w:shd w:val="clear" w:color="auto" w:fill="auto"/>
            <w:tcMar>
              <w:top w:w="69" w:type="dxa"/>
              <w:left w:w="69" w:type="dxa"/>
              <w:bottom w:w="69" w:type="dxa"/>
              <w:right w:w="69" w:type="dxa"/>
            </w:tcMar>
            <w:vAlign w:val="center"/>
          </w:tcPr>
          <w:p w14:paraId="474265D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2.0</w:t>
            </w:r>
          </w:p>
        </w:tc>
        <w:tc>
          <w:tcPr>
            <w:tcW w:w="498" w:type="pct"/>
            <w:shd w:val="clear" w:color="auto" w:fill="auto"/>
            <w:tcMar>
              <w:top w:w="69" w:type="dxa"/>
              <w:left w:w="69" w:type="dxa"/>
              <w:bottom w:w="69" w:type="dxa"/>
              <w:right w:w="69" w:type="dxa"/>
            </w:tcMar>
            <w:vAlign w:val="center"/>
          </w:tcPr>
          <w:p w14:paraId="6A06237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5.7</w:t>
            </w:r>
          </w:p>
        </w:tc>
        <w:tc>
          <w:tcPr>
            <w:tcW w:w="572" w:type="pct"/>
            <w:shd w:val="clear" w:color="auto" w:fill="auto"/>
            <w:tcMar>
              <w:top w:w="69" w:type="dxa"/>
              <w:left w:w="69" w:type="dxa"/>
              <w:bottom w:w="69" w:type="dxa"/>
              <w:right w:w="69" w:type="dxa"/>
            </w:tcMar>
            <w:vAlign w:val="center"/>
          </w:tcPr>
          <w:p w14:paraId="25C5351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42.8</w:t>
            </w:r>
          </w:p>
        </w:tc>
        <w:tc>
          <w:tcPr>
            <w:tcW w:w="583" w:type="pct"/>
            <w:shd w:val="clear" w:color="auto" w:fill="auto"/>
            <w:tcMar>
              <w:top w:w="69" w:type="dxa"/>
              <w:left w:w="69" w:type="dxa"/>
              <w:bottom w:w="69" w:type="dxa"/>
              <w:right w:w="69" w:type="dxa"/>
            </w:tcMar>
            <w:vAlign w:val="center"/>
          </w:tcPr>
          <w:p w14:paraId="506906F2">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18.5</w:t>
            </w:r>
          </w:p>
        </w:tc>
        <w:tc>
          <w:tcPr>
            <w:tcW w:w="298" w:type="pct"/>
            <w:shd w:val="clear" w:color="auto" w:fill="auto"/>
            <w:tcMar>
              <w:top w:w="69" w:type="dxa"/>
              <w:left w:w="69" w:type="dxa"/>
              <w:bottom w:w="69" w:type="dxa"/>
              <w:right w:w="69" w:type="dxa"/>
            </w:tcMar>
            <w:vAlign w:val="center"/>
          </w:tcPr>
          <w:p w14:paraId="0CD3496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最差</w:t>
            </w:r>
          </w:p>
        </w:tc>
      </w:tr>
      <w:tr w14:paraId="78227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560" w:type="pct"/>
            <w:shd w:val="clear" w:color="auto" w:fill="auto"/>
            <w:tcMar>
              <w:top w:w="69" w:type="dxa"/>
              <w:left w:w="69" w:type="dxa"/>
              <w:bottom w:w="69" w:type="dxa"/>
              <w:right w:w="69" w:type="dxa"/>
            </w:tcMar>
            <w:vAlign w:val="center"/>
          </w:tcPr>
          <w:p w14:paraId="5D0D540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T2（黄心土+轻基质，无肥料）</w:t>
            </w:r>
          </w:p>
        </w:tc>
        <w:tc>
          <w:tcPr>
            <w:tcW w:w="796" w:type="pct"/>
            <w:shd w:val="clear" w:color="auto" w:fill="auto"/>
            <w:tcMar>
              <w:top w:w="69" w:type="dxa"/>
              <w:left w:w="69" w:type="dxa"/>
              <w:bottom w:w="69" w:type="dxa"/>
              <w:right w:w="69" w:type="dxa"/>
            </w:tcMar>
            <w:vAlign w:val="center"/>
          </w:tcPr>
          <w:p w14:paraId="39BDA8FE">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黄心土60%+椰糠40%</w:t>
            </w:r>
          </w:p>
        </w:tc>
        <w:tc>
          <w:tcPr>
            <w:tcW w:w="586" w:type="pct"/>
            <w:shd w:val="clear" w:color="auto" w:fill="auto"/>
            <w:tcMar>
              <w:top w:w="69" w:type="dxa"/>
              <w:left w:w="69" w:type="dxa"/>
              <w:bottom w:w="69" w:type="dxa"/>
              <w:right w:w="69" w:type="dxa"/>
            </w:tcMar>
            <w:vAlign w:val="center"/>
          </w:tcPr>
          <w:p w14:paraId="4420161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76.5</w:t>
            </w:r>
          </w:p>
        </w:tc>
        <w:tc>
          <w:tcPr>
            <w:tcW w:w="570" w:type="pct"/>
            <w:shd w:val="clear" w:color="auto" w:fill="auto"/>
            <w:tcMar>
              <w:top w:w="69" w:type="dxa"/>
              <w:left w:w="69" w:type="dxa"/>
              <w:bottom w:w="69" w:type="dxa"/>
              <w:right w:w="69" w:type="dxa"/>
            </w:tcMar>
            <w:vAlign w:val="center"/>
          </w:tcPr>
          <w:p w14:paraId="08762C2E">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27.8</w:t>
            </w:r>
          </w:p>
        </w:tc>
        <w:tc>
          <w:tcPr>
            <w:tcW w:w="533" w:type="pct"/>
            <w:shd w:val="clear" w:color="auto" w:fill="auto"/>
            <w:tcMar>
              <w:top w:w="69" w:type="dxa"/>
              <w:left w:w="69" w:type="dxa"/>
              <w:bottom w:w="69" w:type="dxa"/>
              <w:right w:w="69" w:type="dxa"/>
            </w:tcMar>
            <w:vAlign w:val="center"/>
          </w:tcPr>
          <w:p w14:paraId="5CD9313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2.3</w:t>
            </w:r>
          </w:p>
        </w:tc>
        <w:tc>
          <w:tcPr>
            <w:tcW w:w="498" w:type="pct"/>
            <w:shd w:val="clear" w:color="auto" w:fill="auto"/>
            <w:tcMar>
              <w:top w:w="69" w:type="dxa"/>
              <w:left w:w="69" w:type="dxa"/>
              <w:bottom w:w="69" w:type="dxa"/>
              <w:right w:w="69" w:type="dxa"/>
            </w:tcMar>
            <w:vAlign w:val="center"/>
          </w:tcPr>
          <w:p w14:paraId="798BDDC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7.9</w:t>
            </w:r>
          </w:p>
        </w:tc>
        <w:tc>
          <w:tcPr>
            <w:tcW w:w="572" w:type="pct"/>
            <w:shd w:val="clear" w:color="auto" w:fill="auto"/>
            <w:tcMar>
              <w:top w:w="69" w:type="dxa"/>
              <w:left w:w="69" w:type="dxa"/>
              <w:bottom w:w="69" w:type="dxa"/>
              <w:right w:w="69" w:type="dxa"/>
            </w:tcMar>
            <w:vAlign w:val="center"/>
          </w:tcPr>
          <w:p w14:paraId="30210274">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59.3</w:t>
            </w:r>
          </w:p>
        </w:tc>
        <w:tc>
          <w:tcPr>
            <w:tcW w:w="583" w:type="pct"/>
            <w:shd w:val="clear" w:color="auto" w:fill="auto"/>
            <w:tcMar>
              <w:top w:w="69" w:type="dxa"/>
              <w:left w:w="69" w:type="dxa"/>
              <w:bottom w:w="69" w:type="dxa"/>
              <w:right w:w="69" w:type="dxa"/>
            </w:tcMar>
            <w:vAlign w:val="center"/>
          </w:tcPr>
          <w:p w14:paraId="5817FD2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8.7</w:t>
            </w:r>
          </w:p>
        </w:tc>
        <w:tc>
          <w:tcPr>
            <w:tcW w:w="298" w:type="pct"/>
            <w:shd w:val="clear" w:color="auto" w:fill="auto"/>
            <w:tcMar>
              <w:top w:w="69" w:type="dxa"/>
              <w:left w:w="69" w:type="dxa"/>
              <w:bottom w:w="69" w:type="dxa"/>
              <w:right w:w="69" w:type="dxa"/>
            </w:tcMar>
            <w:vAlign w:val="center"/>
          </w:tcPr>
          <w:p w14:paraId="4EA9F541">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较差</w:t>
            </w:r>
          </w:p>
        </w:tc>
      </w:tr>
      <w:tr w14:paraId="7FEE6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560" w:type="pct"/>
            <w:shd w:val="clear" w:color="auto" w:fill="auto"/>
            <w:tcMar>
              <w:top w:w="69" w:type="dxa"/>
              <w:left w:w="69" w:type="dxa"/>
              <w:bottom w:w="69" w:type="dxa"/>
              <w:right w:w="69" w:type="dxa"/>
            </w:tcMar>
            <w:vAlign w:val="center"/>
          </w:tcPr>
          <w:p w14:paraId="64A91280">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T3（黄心土+轻基质+磷肥，无生物有机肥）</w:t>
            </w:r>
          </w:p>
        </w:tc>
        <w:tc>
          <w:tcPr>
            <w:tcW w:w="796" w:type="pct"/>
            <w:shd w:val="clear" w:color="auto" w:fill="auto"/>
            <w:tcMar>
              <w:top w:w="69" w:type="dxa"/>
              <w:left w:w="69" w:type="dxa"/>
              <w:bottom w:w="69" w:type="dxa"/>
              <w:right w:w="69" w:type="dxa"/>
            </w:tcMar>
            <w:vAlign w:val="center"/>
          </w:tcPr>
          <w:p w14:paraId="2AA9DE22">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黄心土58% +椰糠37%+钙镁磷肥5%</w:t>
            </w:r>
          </w:p>
        </w:tc>
        <w:tc>
          <w:tcPr>
            <w:tcW w:w="586" w:type="pct"/>
            <w:shd w:val="clear" w:color="auto" w:fill="auto"/>
            <w:tcMar>
              <w:top w:w="69" w:type="dxa"/>
              <w:left w:w="69" w:type="dxa"/>
              <w:bottom w:w="69" w:type="dxa"/>
              <w:right w:w="69" w:type="dxa"/>
            </w:tcMar>
            <w:vAlign w:val="center"/>
          </w:tcPr>
          <w:p w14:paraId="22844812">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83.6</w:t>
            </w:r>
          </w:p>
        </w:tc>
        <w:tc>
          <w:tcPr>
            <w:tcW w:w="570" w:type="pct"/>
            <w:shd w:val="clear" w:color="auto" w:fill="auto"/>
            <w:tcMar>
              <w:top w:w="69" w:type="dxa"/>
              <w:left w:w="69" w:type="dxa"/>
              <w:bottom w:w="69" w:type="dxa"/>
              <w:right w:w="69" w:type="dxa"/>
            </w:tcMar>
            <w:vAlign w:val="center"/>
          </w:tcPr>
          <w:p w14:paraId="2E307C3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30.5</w:t>
            </w:r>
          </w:p>
        </w:tc>
        <w:tc>
          <w:tcPr>
            <w:tcW w:w="533" w:type="pct"/>
            <w:shd w:val="clear" w:color="auto" w:fill="auto"/>
            <w:tcMar>
              <w:top w:w="69" w:type="dxa"/>
              <w:left w:w="69" w:type="dxa"/>
              <w:bottom w:w="69" w:type="dxa"/>
              <w:right w:w="69" w:type="dxa"/>
            </w:tcMar>
            <w:vAlign w:val="center"/>
          </w:tcPr>
          <w:p w14:paraId="3B4AE7F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2.6</w:t>
            </w:r>
          </w:p>
        </w:tc>
        <w:tc>
          <w:tcPr>
            <w:tcW w:w="498" w:type="pct"/>
            <w:shd w:val="clear" w:color="auto" w:fill="auto"/>
            <w:tcMar>
              <w:top w:w="69" w:type="dxa"/>
              <w:left w:w="69" w:type="dxa"/>
              <w:bottom w:w="69" w:type="dxa"/>
              <w:right w:w="69" w:type="dxa"/>
            </w:tcMar>
            <w:vAlign w:val="center"/>
          </w:tcPr>
          <w:p w14:paraId="37C420C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9.2</w:t>
            </w:r>
          </w:p>
        </w:tc>
        <w:tc>
          <w:tcPr>
            <w:tcW w:w="572" w:type="pct"/>
            <w:shd w:val="clear" w:color="auto" w:fill="auto"/>
            <w:tcMar>
              <w:top w:w="69" w:type="dxa"/>
              <w:left w:w="69" w:type="dxa"/>
              <w:bottom w:w="69" w:type="dxa"/>
              <w:right w:w="69" w:type="dxa"/>
            </w:tcMar>
            <w:vAlign w:val="center"/>
          </w:tcPr>
          <w:p w14:paraId="51D227F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78.6</w:t>
            </w:r>
          </w:p>
        </w:tc>
        <w:tc>
          <w:tcPr>
            <w:tcW w:w="583" w:type="pct"/>
            <w:shd w:val="clear" w:color="auto" w:fill="auto"/>
            <w:tcMar>
              <w:top w:w="69" w:type="dxa"/>
              <w:left w:w="69" w:type="dxa"/>
              <w:bottom w:w="69" w:type="dxa"/>
              <w:right w:w="69" w:type="dxa"/>
            </w:tcMar>
            <w:vAlign w:val="center"/>
          </w:tcPr>
          <w:p w14:paraId="287B533D">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6.2</w:t>
            </w:r>
          </w:p>
        </w:tc>
        <w:tc>
          <w:tcPr>
            <w:tcW w:w="298" w:type="pct"/>
            <w:shd w:val="clear" w:color="auto" w:fill="auto"/>
            <w:tcMar>
              <w:top w:w="69" w:type="dxa"/>
              <w:left w:w="69" w:type="dxa"/>
              <w:bottom w:w="69" w:type="dxa"/>
              <w:right w:w="69" w:type="dxa"/>
            </w:tcMar>
            <w:vAlign w:val="center"/>
          </w:tcPr>
          <w:p w14:paraId="4D25AF08">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良好</w:t>
            </w:r>
          </w:p>
        </w:tc>
      </w:tr>
      <w:tr w14:paraId="34AC0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560" w:type="pct"/>
            <w:shd w:val="clear" w:color="auto" w:fill="auto"/>
            <w:tcMar>
              <w:top w:w="69" w:type="dxa"/>
              <w:left w:w="69" w:type="dxa"/>
              <w:bottom w:w="69" w:type="dxa"/>
              <w:right w:w="69" w:type="dxa"/>
            </w:tcMar>
            <w:vAlign w:val="center"/>
          </w:tcPr>
          <w:p w14:paraId="162D7072">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T4（黄心土+轻基质+生物有机肥，无磷肥）</w:t>
            </w:r>
          </w:p>
        </w:tc>
        <w:tc>
          <w:tcPr>
            <w:tcW w:w="796" w:type="pct"/>
            <w:shd w:val="clear" w:color="auto" w:fill="auto"/>
            <w:tcMar>
              <w:top w:w="69" w:type="dxa"/>
              <w:left w:w="69" w:type="dxa"/>
              <w:bottom w:w="69" w:type="dxa"/>
              <w:right w:w="69" w:type="dxa"/>
            </w:tcMar>
            <w:vAlign w:val="center"/>
          </w:tcPr>
          <w:p w14:paraId="0849927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黄心土58%+ 椰糠37%+生物有机肥 5%</w:t>
            </w:r>
          </w:p>
        </w:tc>
        <w:tc>
          <w:tcPr>
            <w:tcW w:w="586" w:type="pct"/>
            <w:shd w:val="clear" w:color="auto" w:fill="auto"/>
            <w:tcMar>
              <w:top w:w="69" w:type="dxa"/>
              <w:left w:w="69" w:type="dxa"/>
              <w:bottom w:w="69" w:type="dxa"/>
              <w:right w:w="69" w:type="dxa"/>
            </w:tcMar>
            <w:vAlign w:val="center"/>
          </w:tcPr>
          <w:p w14:paraId="55878434">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81.2</w:t>
            </w:r>
          </w:p>
        </w:tc>
        <w:tc>
          <w:tcPr>
            <w:tcW w:w="570" w:type="pct"/>
            <w:shd w:val="clear" w:color="auto" w:fill="auto"/>
            <w:tcMar>
              <w:top w:w="69" w:type="dxa"/>
              <w:left w:w="69" w:type="dxa"/>
              <w:bottom w:w="69" w:type="dxa"/>
              <w:right w:w="69" w:type="dxa"/>
            </w:tcMar>
            <w:vAlign w:val="center"/>
          </w:tcPr>
          <w:p w14:paraId="529DB05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29.7</w:t>
            </w:r>
          </w:p>
        </w:tc>
        <w:tc>
          <w:tcPr>
            <w:tcW w:w="533" w:type="pct"/>
            <w:shd w:val="clear" w:color="auto" w:fill="auto"/>
            <w:tcMar>
              <w:top w:w="69" w:type="dxa"/>
              <w:left w:w="69" w:type="dxa"/>
              <w:bottom w:w="69" w:type="dxa"/>
              <w:right w:w="69" w:type="dxa"/>
            </w:tcMar>
            <w:vAlign w:val="center"/>
          </w:tcPr>
          <w:p w14:paraId="526C006A">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2.4</w:t>
            </w:r>
          </w:p>
        </w:tc>
        <w:tc>
          <w:tcPr>
            <w:tcW w:w="498" w:type="pct"/>
            <w:shd w:val="clear" w:color="auto" w:fill="auto"/>
            <w:tcMar>
              <w:top w:w="69" w:type="dxa"/>
              <w:left w:w="69" w:type="dxa"/>
              <w:bottom w:w="69" w:type="dxa"/>
              <w:right w:w="69" w:type="dxa"/>
            </w:tcMar>
            <w:vAlign w:val="center"/>
          </w:tcPr>
          <w:p w14:paraId="07C2EDD4">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8.5</w:t>
            </w:r>
          </w:p>
        </w:tc>
        <w:tc>
          <w:tcPr>
            <w:tcW w:w="572" w:type="pct"/>
            <w:shd w:val="clear" w:color="auto" w:fill="auto"/>
            <w:tcMar>
              <w:top w:w="69" w:type="dxa"/>
              <w:left w:w="69" w:type="dxa"/>
              <w:bottom w:w="69" w:type="dxa"/>
              <w:right w:w="69" w:type="dxa"/>
            </w:tcMar>
            <w:vAlign w:val="center"/>
          </w:tcPr>
          <w:p w14:paraId="60D9C60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71.4</w:t>
            </w:r>
          </w:p>
        </w:tc>
        <w:tc>
          <w:tcPr>
            <w:tcW w:w="583" w:type="pct"/>
            <w:shd w:val="clear" w:color="auto" w:fill="auto"/>
            <w:tcMar>
              <w:top w:w="69" w:type="dxa"/>
              <w:left w:w="69" w:type="dxa"/>
              <w:bottom w:w="69" w:type="dxa"/>
              <w:right w:w="69" w:type="dxa"/>
            </w:tcMar>
            <w:vAlign w:val="center"/>
          </w:tcPr>
          <w:p w14:paraId="748F12A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5.8</w:t>
            </w:r>
          </w:p>
        </w:tc>
        <w:tc>
          <w:tcPr>
            <w:tcW w:w="298" w:type="pct"/>
            <w:shd w:val="clear" w:color="auto" w:fill="auto"/>
            <w:tcMar>
              <w:top w:w="69" w:type="dxa"/>
              <w:left w:w="69" w:type="dxa"/>
              <w:bottom w:w="69" w:type="dxa"/>
              <w:right w:w="69" w:type="dxa"/>
            </w:tcMar>
            <w:vAlign w:val="center"/>
          </w:tcPr>
          <w:p w14:paraId="319D69F2">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良好</w:t>
            </w:r>
          </w:p>
        </w:tc>
      </w:tr>
      <w:tr w14:paraId="1AF77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560" w:type="pct"/>
            <w:shd w:val="clear" w:color="auto" w:fill="auto"/>
            <w:tcMar>
              <w:top w:w="69" w:type="dxa"/>
              <w:left w:w="69" w:type="dxa"/>
              <w:bottom w:w="69" w:type="dxa"/>
              <w:right w:w="69" w:type="dxa"/>
            </w:tcMar>
            <w:vAlign w:val="center"/>
          </w:tcPr>
          <w:p w14:paraId="18C9D90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T5（纯轻基质）</w:t>
            </w:r>
          </w:p>
        </w:tc>
        <w:tc>
          <w:tcPr>
            <w:tcW w:w="796" w:type="pct"/>
            <w:shd w:val="clear" w:color="auto" w:fill="auto"/>
            <w:tcMar>
              <w:top w:w="69" w:type="dxa"/>
              <w:left w:w="69" w:type="dxa"/>
              <w:bottom w:w="69" w:type="dxa"/>
              <w:right w:w="69" w:type="dxa"/>
            </w:tcMar>
            <w:vAlign w:val="center"/>
          </w:tcPr>
          <w:p w14:paraId="324F529B">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椰糠100%</w:t>
            </w:r>
          </w:p>
        </w:tc>
        <w:tc>
          <w:tcPr>
            <w:tcW w:w="586" w:type="pct"/>
            <w:shd w:val="clear" w:color="auto" w:fill="auto"/>
            <w:tcMar>
              <w:top w:w="69" w:type="dxa"/>
              <w:left w:w="69" w:type="dxa"/>
              <w:bottom w:w="69" w:type="dxa"/>
              <w:right w:w="69" w:type="dxa"/>
            </w:tcMar>
            <w:vAlign w:val="center"/>
          </w:tcPr>
          <w:p w14:paraId="28A7399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72.3</w:t>
            </w:r>
          </w:p>
        </w:tc>
        <w:tc>
          <w:tcPr>
            <w:tcW w:w="570" w:type="pct"/>
            <w:shd w:val="clear" w:color="auto" w:fill="auto"/>
            <w:tcMar>
              <w:top w:w="69" w:type="dxa"/>
              <w:left w:w="69" w:type="dxa"/>
              <w:bottom w:w="69" w:type="dxa"/>
              <w:right w:w="69" w:type="dxa"/>
            </w:tcMar>
            <w:vAlign w:val="center"/>
          </w:tcPr>
          <w:p w14:paraId="6D75BF2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25.4</w:t>
            </w:r>
          </w:p>
        </w:tc>
        <w:tc>
          <w:tcPr>
            <w:tcW w:w="533" w:type="pct"/>
            <w:shd w:val="clear" w:color="auto" w:fill="auto"/>
            <w:tcMar>
              <w:top w:w="69" w:type="dxa"/>
              <w:left w:w="69" w:type="dxa"/>
              <w:bottom w:w="69" w:type="dxa"/>
              <w:right w:w="69" w:type="dxa"/>
            </w:tcMar>
            <w:vAlign w:val="center"/>
          </w:tcPr>
          <w:p w14:paraId="27345D1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2.1</w:t>
            </w:r>
          </w:p>
        </w:tc>
        <w:tc>
          <w:tcPr>
            <w:tcW w:w="498" w:type="pct"/>
            <w:shd w:val="clear" w:color="auto" w:fill="auto"/>
            <w:tcMar>
              <w:top w:w="69" w:type="dxa"/>
              <w:left w:w="69" w:type="dxa"/>
              <w:bottom w:w="69" w:type="dxa"/>
              <w:right w:w="69" w:type="dxa"/>
            </w:tcMar>
            <w:vAlign w:val="center"/>
          </w:tcPr>
          <w:p w14:paraId="5F19B31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6.8</w:t>
            </w:r>
          </w:p>
        </w:tc>
        <w:tc>
          <w:tcPr>
            <w:tcW w:w="572" w:type="pct"/>
            <w:shd w:val="clear" w:color="auto" w:fill="auto"/>
            <w:tcMar>
              <w:top w:w="69" w:type="dxa"/>
              <w:left w:w="69" w:type="dxa"/>
              <w:bottom w:w="69" w:type="dxa"/>
              <w:right w:w="69" w:type="dxa"/>
            </w:tcMar>
            <w:vAlign w:val="center"/>
          </w:tcPr>
          <w:p w14:paraId="337FEC0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48.7</w:t>
            </w:r>
          </w:p>
        </w:tc>
        <w:tc>
          <w:tcPr>
            <w:tcW w:w="583" w:type="pct"/>
            <w:shd w:val="clear" w:color="auto" w:fill="auto"/>
            <w:tcMar>
              <w:top w:w="69" w:type="dxa"/>
              <w:left w:w="69" w:type="dxa"/>
              <w:bottom w:w="69" w:type="dxa"/>
              <w:right w:w="69" w:type="dxa"/>
            </w:tcMar>
            <w:vAlign w:val="center"/>
          </w:tcPr>
          <w:p w14:paraId="0DD176F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12.3</w:t>
            </w:r>
          </w:p>
        </w:tc>
        <w:tc>
          <w:tcPr>
            <w:tcW w:w="298" w:type="pct"/>
            <w:shd w:val="clear" w:color="auto" w:fill="auto"/>
            <w:tcMar>
              <w:top w:w="69" w:type="dxa"/>
              <w:left w:w="69" w:type="dxa"/>
              <w:bottom w:w="69" w:type="dxa"/>
              <w:right w:w="69" w:type="dxa"/>
            </w:tcMar>
            <w:vAlign w:val="center"/>
          </w:tcPr>
          <w:p w14:paraId="5D4A757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较差</w:t>
            </w:r>
          </w:p>
        </w:tc>
      </w:tr>
      <w:tr w14:paraId="1C459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560" w:type="pct"/>
            <w:shd w:val="clear" w:color="auto" w:fill="auto"/>
            <w:tcMar>
              <w:top w:w="69" w:type="dxa"/>
              <w:left w:w="69" w:type="dxa"/>
              <w:bottom w:w="69" w:type="dxa"/>
              <w:right w:w="69" w:type="dxa"/>
            </w:tcMar>
            <w:vAlign w:val="center"/>
          </w:tcPr>
          <w:p w14:paraId="497CFBF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T6（黄心土 + 化肥，无轻基质）</w:t>
            </w:r>
          </w:p>
        </w:tc>
        <w:tc>
          <w:tcPr>
            <w:tcW w:w="796" w:type="pct"/>
            <w:shd w:val="clear" w:color="auto" w:fill="auto"/>
            <w:tcMar>
              <w:top w:w="69" w:type="dxa"/>
              <w:left w:w="69" w:type="dxa"/>
              <w:bottom w:w="69" w:type="dxa"/>
              <w:right w:w="69" w:type="dxa"/>
            </w:tcMar>
            <w:vAlign w:val="center"/>
          </w:tcPr>
          <w:p w14:paraId="06989BB2">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黄心土90%+ 尿素2%+磷酸二铵3%+ 氯化钾5%</w:t>
            </w:r>
          </w:p>
        </w:tc>
        <w:tc>
          <w:tcPr>
            <w:tcW w:w="586" w:type="pct"/>
            <w:shd w:val="clear" w:color="auto" w:fill="auto"/>
            <w:tcMar>
              <w:top w:w="69" w:type="dxa"/>
              <w:left w:w="69" w:type="dxa"/>
              <w:bottom w:w="69" w:type="dxa"/>
              <w:right w:w="69" w:type="dxa"/>
            </w:tcMar>
            <w:vAlign w:val="center"/>
          </w:tcPr>
          <w:p w14:paraId="54AE939A">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74.1</w:t>
            </w:r>
          </w:p>
        </w:tc>
        <w:tc>
          <w:tcPr>
            <w:tcW w:w="570" w:type="pct"/>
            <w:shd w:val="clear" w:color="auto" w:fill="auto"/>
            <w:tcMar>
              <w:top w:w="69" w:type="dxa"/>
              <w:left w:w="69" w:type="dxa"/>
              <w:bottom w:w="69" w:type="dxa"/>
              <w:right w:w="69" w:type="dxa"/>
            </w:tcMar>
            <w:vAlign w:val="center"/>
          </w:tcPr>
          <w:p w14:paraId="3C7FDAA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31.2</w:t>
            </w:r>
          </w:p>
        </w:tc>
        <w:tc>
          <w:tcPr>
            <w:tcW w:w="533" w:type="pct"/>
            <w:shd w:val="clear" w:color="auto" w:fill="auto"/>
            <w:tcMar>
              <w:top w:w="69" w:type="dxa"/>
              <w:left w:w="69" w:type="dxa"/>
              <w:bottom w:w="69" w:type="dxa"/>
              <w:right w:w="69" w:type="dxa"/>
            </w:tcMar>
            <w:vAlign w:val="center"/>
          </w:tcPr>
          <w:p w14:paraId="3855096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2.5</w:t>
            </w:r>
          </w:p>
        </w:tc>
        <w:tc>
          <w:tcPr>
            <w:tcW w:w="498" w:type="pct"/>
            <w:shd w:val="clear" w:color="auto" w:fill="auto"/>
            <w:tcMar>
              <w:top w:w="69" w:type="dxa"/>
              <w:left w:w="69" w:type="dxa"/>
              <w:bottom w:w="69" w:type="dxa"/>
              <w:right w:w="69" w:type="dxa"/>
            </w:tcMar>
            <w:vAlign w:val="center"/>
          </w:tcPr>
          <w:p w14:paraId="07B6E959">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7.3</w:t>
            </w:r>
          </w:p>
        </w:tc>
        <w:tc>
          <w:tcPr>
            <w:tcW w:w="572" w:type="pct"/>
            <w:shd w:val="clear" w:color="auto" w:fill="auto"/>
            <w:tcMar>
              <w:top w:w="69" w:type="dxa"/>
              <w:left w:w="69" w:type="dxa"/>
              <w:bottom w:w="69" w:type="dxa"/>
              <w:right w:w="69" w:type="dxa"/>
            </w:tcMar>
            <w:vAlign w:val="center"/>
          </w:tcPr>
          <w:p w14:paraId="6A7A339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65.2</w:t>
            </w:r>
          </w:p>
        </w:tc>
        <w:tc>
          <w:tcPr>
            <w:tcW w:w="583" w:type="pct"/>
            <w:shd w:val="clear" w:color="auto" w:fill="auto"/>
            <w:tcMar>
              <w:top w:w="69" w:type="dxa"/>
              <w:left w:w="69" w:type="dxa"/>
              <w:bottom w:w="69" w:type="dxa"/>
              <w:right w:w="69" w:type="dxa"/>
            </w:tcMar>
            <w:vAlign w:val="center"/>
          </w:tcPr>
          <w:p w14:paraId="3EBD874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15.7</w:t>
            </w:r>
          </w:p>
        </w:tc>
        <w:tc>
          <w:tcPr>
            <w:tcW w:w="298" w:type="pct"/>
            <w:shd w:val="clear" w:color="auto" w:fill="auto"/>
            <w:tcMar>
              <w:top w:w="69" w:type="dxa"/>
              <w:left w:w="69" w:type="dxa"/>
              <w:bottom w:w="69" w:type="dxa"/>
              <w:right w:w="69" w:type="dxa"/>
            </w:tcMar>
            <w:vAlign w:val="center"/>
          </w:tcPr>
          <w:p w14:paraId="0FEB090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较差</w:t>
            </w:r>
          </w:p>
        </w:tc>
      </w:tr>
      <w:tr w14:paraId="3F31C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560" w:type="pct"/>
            <w:shd w:val="clear" w:color="auto" w:fill="auto"/>
            <w:tcMar>
              <w:top w:w="69" w:type="dxa"/>
              <w:left w:w="69" w:type="dxa"/>
              <w:bottom w:w="69" w:type="dxa"/>
              <w:right w:w="69" w:type="dxa"/>
            </w:tcMar>
            <w:vAlign w:val="center"/>
          </w:tcPr>
          <w:p w14:paraId="4459748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T7（市场通用育苗基质）</w:t>
            </w:r>
          </w:p>
        </w:tc>
        <w:tc>
          <w:tcPr>
            <w:tcW w:w="796" w:type="pct"/>
            <w:shd w:val="clear" w:color="auto" w:fill="auto"/>
            <w:tcMar>
              <w:top w:w="69" w:type="dxa"/>
              <w:left w:w="69" w:type="dxa"/>
              <w:bottom w:w="69" w:type="dxa"/>
              <w:right w:w="69" w:type="dxa"/>
            </w:tcMar>
            <w:vAlign w:val="center"/>
          </w:tcPr>
          <w:p w14:paraId="598B25A2">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泥炭土40%+珍珠岩30%+蛭石30%</w:t>
            </w:r>
          </w:p>
        </w:tc>
        <w:tc>
          <w:tcPr>
            <w:tcW w:w="586" w:type="pct"/>
            <w:shd w:val="clear" w:color="auto" w:fill="auto"/>
            <w:tcMar>
              <w:top w:w="69" w:type="dxa"/>
              <w:left w:w="69" w:type="dxa"/>
              <w:bottom w:w="69" w:type="dxa"/>
              <w:right w:w="69" w:type="dxa"/>
            </w:tcMar>
            <w:vAlign w:val="center"/>
          </w:tcPr>
          <w:p w14:paraId="7D62A7A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85.7</w:t>
            </w:r>
          </w:p>
        </w:tc>
        <w:tc>
          <w:tcPr>
            <w:tcW w:w="570" w:type="pct"/>
            <w:shd w:val="clear" w:color="auto" w:fill="auto"/>
            <w:tcMar>
              <w:top w:w="69" w:type="dxa"/>
              <w:left w:w="69" w:type="dxa"/>
              <w:bottom w:w="69" w:type="dxa"/>
              <w:right w:w="69" w:type="dxa"/>
            </w:tcMar>
            <w:vAlign w:val="center"/>
          </w:tcPr>
          <w:p w14:paraId="5DD722EA">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32.1</w:t>
            </w:r>
          </w:p>
        </w:tc>
        <w:tc>
          <w:tcPr>
            <w:tcW w:w="533" w:type="pct"/>
            <w:shd w:val="clear" w:color="auto" w:fill="auto"/>
            <w:tcMar>
              <w:top w:w="69" w:type="dxa"/>
              <w:left w:w="69" w:type="dxa"/>
              <w:bottom w:w="69" w:type="dxa"/>
              <w:right w:w="69" w:type="dxa"/>
            </w:tcMar>
            <w:vAlign w:val="center"/>
          </w:tcPr>
          <w:p w14:paraId="3599B284">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2.7</w:t>
            </w:r>
          </w:p>
        </w:tc>
        <w:tc>
          <w:tcPr>
            <w:tcW w:w="498" w:type="pct"/>
            <w:shd w:val="clear" w:color="auto" w:fill="auto"/>
            <w:tcMar>
              <w:top w:w="69" w:type="dxa"/>
              <w:left w:w="69" w:type="dxa"/>
              <w:bottom w:w="69" w:type="dxa"/>
              <w:right w:w="69" w:type="dxa"/>
            </w:tcMar>
            <w:vAlign w:val="center"/>
          </w:tcPr>
          <w:p w14:paraId="6EB0F41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9.8</w:t>
            </w:r>
          </w:p>
        </w:tc>
        <w:tc>
          <w:tcPr>
            <w:tcW w:w="572" w:type="pct"/>
            <w:shd w:val="clear" w:color="auto" w:fill="auto"/>
            <w:tcMar>
              <w:top w:w="69" w:type="dxa"/>
              <w:left w:w="69" w:type="dxa"/>
              <w:bottom w:w="69" w:type="dxa"/>
              <w:right w:w="69" w:type="dxa"/>
            </w:tcMar>
            <w:vAlign w:val="center"/>
          </w:tcPr>
          <w:p w14:paraId="2BAD011A">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83.1</w:t>
            </w:r>
          </w:p>
        </w:tc>
        <w:tc>
          <w:tcPr>
            <w:tcW w:w="583" w:type="pct"/>
            <w:shd w:val="clear" w:color="auto" w:fill="auto"/>
            <w:tcMar>
              <w:top w:w="69" w:type="dxa"/>
              <w:left w:w="69" w:type="dxa"/>
              <w:bottom w:w="69" w:type="dxa"/>
              <w:right w:w="69" w:type="dxa"/>
            </w:tcMar>
            <w:vAlign w:val="center"/>
          </w:tcPr>
          <w:p w14:paraId="08780C1D">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4.9</w:t>
            </w:r>
          </w:p>
        </w:tc>
        <w:tc>
          <w:tcPr>
            <w:tcW w:w="298" w:type="pct"/>
            <w:shd w:val="clear" w:color="auto" w:fill="auto"/>
            <w:tcMar>
              <w:top w:w="69" w:type="dxa"/>
              <w:left w:w="69" w:type="dxa"/>
              <w:bottom w:w="69" w:type="dxa"/>
              <w:right w:w="69" w:type="dxa"/>
            </w:tcMar>
            <w:vAlign w:val="center"/>
          </w:tcPr>
          <w:p w14:paraId="53A0255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良好</w:t>
            </w:r>
          </w:p>
        </w:tc>
      </w:tr>
    </w:tbl>
    <w:p w14:paraId="40ECF7F5">
      <w:pPr>
        <w:spacing w:line="560" w:lineRule="exact"/>
        <w:ind w:firstLine="640" w:firstLineChars="200"/>
        <w:outlineLvl w:val="1"/>
        <w:rPr>
          <w:rFonts w:hint="eastAsia" w:eastAsia="仿宋_GB2312"/>
          <w:color w:val="auto"/>
          <w:sz w:val="32"/>
          <w:szCs w:val="32"/>
        </w:rPr>
      </w:pPr>
      <w:r>
        <w:rPr>
          <w:rFonts w:hint="eastAsia" w:eastAsia="仿宋_GB2312"/>
          <w:color w:val="auto"/>
          <w:sz w:val="32"/>
          <w:szCs w:val="32"/>
          <w:lang w:val="en-US" w:eastAsia="zh-CN"/>
        </w:rPr>
        <w:t>根据试验结果表明标准扦插成活率（90.2%）、壮苗率（92.5%）均为最高，病害发生率（3.1%）最低。</w:t>
      </w:r>
      <w:r>
        <w:rPr>
          <w:rFonts w:hint="eastAsia" w:eastAsia="仿宋_GB2312"/>
          <w:color w:val="auto"/>
          <w:sz w:val="32"/>
          <w:szCs w:val="32"/>
        </w:rPr>
        <w:t>纯黄心土（T1）：板结严重，根系无法伸展，壮苗率不足50%，完全不符合规模化育苗需求；纯轻基质（T5）：保肥保水性差，种苗长势弱，病害易爆发；化学肥料替代（T6）：虽苗高略高，但根系发育差、病害多，且易造成基质盐渍化，影响后续移栽成活；市场通用基质（T7）：效果接近但成本比T0高30%以上，且泥炭土、珍珠岩为非南宁本地原料，运输成本高，不适配本地规模化育苗的成本控制需求。</w:t>
      </w:r>
    </w:p>
    <w:p w14:paraId="694FCF44">
      <w:pPr>
        <w:spacing w:line="560" w:lineRule="exact"/>
        <w:ind w:firstLine="640" w:firstLineChars="200"/>
        <w:outlineLvl w:val="1"/>
        <w:rPr>
          <w:rFonts w:hint="default" w:eastAsia="仿宋_GB2312"/>
          <w:color w:val="auto"/>
          <w:sz w:val="32"/>
          <w:szCs w:val="32"/>
          <w:lang w:val="en-US" w:eastAsia="zh-CN"/>
        </w:rPr>
      </w:pPr>
      <w:r>
        <w:rPr>
          <w:rFonts w:hint="default" w:eastAsia="仿宋_GB2312"/>
          <w:color w:val="auto"/>
          <w:sz w:val="32"/>
          <w:szCs w:val="32"/>
        </w:rPr>
        <w:t>消毒药剂与浓度</w:t>
      </w:r>
      <w:r>
        <w:rPr>
          <w:rFonts w:hint="eastAsia" w:eastAsia="仿宋_GB2312"/>
          <w:color w:val="auto"/>
          <w:sz w:val="32"/>
          <w:szCs w:val="32"/>
          <w:lang w:eastAsia="zh-CN"/>
        </w:rPr>
        <w:t>：</w:t>
      </w:r>
      <w:r>
        <w:rPr>
          <w:rFonts w:hint="default" w:eastAsia="仿宋_GB2312"/>
          <w:color w:val="auto"/>
          <w:sz w:val="32"/>
          <w:szCs w:val="32"/>
        </w:rPr>
        <w:t>高锰酸钾是广谱、低残留、安全的育苗消毒剂，</w:t>
      </w:r>
      <w:r>
        <w:rPr>
          <w:rFonts w:hint="eastAsia" w:eastAsia="仿宋_GB2312"/>
          <w:color w:val="auto"/>
          <w:sz w:val="32"/>
          <w:szCs w:val="32"/>
          <w:lang w:eastAsia="zh-CN"/>
        </w:rPr>
        <w:t>0.1%～0.3%</w:t>
      </w:r>
      <w:r>
        <w:rPr>
          <w:rFonts w:hint="default" w:eastAsia="仿宋_GB2312"/>
          <w:color w:val="auto"/>
          <w:sz w:val="32"/>
          <w:szCs w:val="32"/>
        </w:rPr>
        <w:t xml:space="preserve"> 浓度可杀</w:t>
      </w:r>
      <w:bookmarkStart w:id="0" w:name="_GoBack"/>
      <w:bookmarkEnd w:id="0"/>
      <w:r>
        <w:rPr>
          <w:rFonts w:hint="default" w:eastAsia="仿宋_GB2312"/>
          <w:color w:val="auto"/>
          <w:sz w:val="32"/>
          <w:szCs w:val="32"/>
        </w:rPr>
        <w:t>灭容器基质内的病菌、虫卵，适配南宁高温高湿环境下基质易滋生真菌的问题，防止插穗切口感染腐烂。药液用量（</w:t>
      </w:r>
      <w:r>
        <w:rPr>
          <w:rFonts w:hint="eastAsia" w:eastAsia="仿宋_GB2312"/>
          <w:color w:val="auto"/>
          <w:sz w:val="32"/>
          <w:szCs w:val="32"/>
          <w:lang w:val="en-US" w:eastAsia="zh-CN"/>
        </w:rPr>
        <w:t>15</w:t>
      </w:r>
      <w:r>
        <w:rPr>
          <w:rFonts w:hint="eastAsia" w:eastAsia="仿宋_GB2312"/>
          <w:color w:val="auto"/>
          <w:sz w:val="32"/>
          <w:szCs w:val="32"/>
          <w:lang w:eastAsia="zh-CN"/>
        </w:rPr>
        <w:t>～</w:t>
      </w:r>
      <w:r>
        <w:rPr>
          <w:rFonts w:hint="eastAsia" w:eastAsia="仿宋_GB2312"/>
          <w:color w:val="auto"/>
          <w:sz w:val="32"/>
          <w:szCs w:val="32"/>
          <w:lang w:val="en-US" w:eastAsia="zh-CN"/>
        </w:rPr>
        <w:t>25</w:t>
      </w:r>
      <w:r>
        <w:rPr>
          <w:rFonts w:hint="default" w:eastAsia="仿宋_GB2312"/>
          <w:color w:val="auto"/>
          <w:sz w:val="32"/>
          <w:szCs w:val="32"/>
        </w:rPr>
        <w:t>L/㎡）+ 覆膜 1</w:t>
      </w:r>
      <w:r>
        <w:rPr>
          <w:rFonts w:hint="eastAsia" w:eastAsia="仿宋_GB2312"/>
          <w:color w:val="auto"/>
          <w:sz w:val="32"/>
          <w:szCs w:val="32"/>
          <w:lang w:eastAsia="zh-CN"/>
        </w:rPr>
        <w:t>～</w:t>
      </w:r>
      <w:r>
        <w:rPr>
          <w:rFonts w:hint="default" w:eastAsia="仿宋_GB2312"/>
          <w:color w:val="auto"/>
          <w:sz w:val="32"/>
          <w:szCs w:val="32"/>
        </w:rPr>
        <w:t>2d保证药液均匀渗透基质，覆膜可锁住药液、提升消毒效果，彻底灭杀基质有害微生物。通风 12</w:t>
      </w:r>
      <w:r>
        <w:rPr>
          <w:rFonts w:hint="eastAsia" w:eastAsia="仿宋_GB2312"/>
          <w:color w:val="auto"/>
          <w:sz w:val="32"/>
          <w:szCs w:val="32"/>
          <w:lang w:eastAsia="zh-CN"/>
        </w:rPr>
        <w:t>～</w:t>
      </w:r>
      <w:r>
        <w:rPr>
          <w:rFonts w:hint="default" w:eastAsia="仿宋_GB2312"/>
          <w:color w:val="auto"/>
          <w:sz w:val="32"/>
          <w:szCs w:val="32"/>
        </w:rPr>
        <w:t>24h去除基质内药液残留异味，避免高浓度高锰酸钾对插穗切口产生药害，保证插穗正常生根萌芽。</w:t>
      </w:r>
    </w:p>
    <w:p w14:paraId="3A84167A">
      <w:pPr>
        <w:spacing w:line="560" w:lineRule="exact"/>
        <w:ind w:firstLine="640" w:firstLineChars="200"/>
        <w:outlineLvl w:val="1"/>
        <w:rPr>
          <w:rFonts w:hint="eastAsia" w:ascii="Times New Roman" w:eastAsia="仿宋_GB2312"/>
          <w:b w:val="0"/>
          <w:bCs w:val="0"/>
          <w:color w:val="auto"/>
          <w:sz w:val="32"/>
          <w:szCs w:val="32"/>
          <w:lang w:val="en-US" w:eastAsia="zh-CN"/>
        </w:rPr>
      </w:pPr>
      <w:r>
        <w:rPr>
          <w:rFonts w:hint="eastAsia" w:ascii="Times New Roman" w:eastAsia="仿宋_GB2312"/>
          <w:b w:val="0"/>
          <w:bCs w:val="0"/>
          <w:color w:val="auto"/>
          <w:sz w:val="32"/>
          <w:szCs w:val="32"/>
        </w:rPr>
        <w:t>（</w:t>
      </w:r>
      <w:r>
        <w:rPr>
          <w:rFonts w:hint="eastAsia" w:ascii="Times New Roman" w:eastAsia="仿宋_GB2312"/>
          <w:b w:val="0"/>
          <w:bCs w:val="0"/>
          <w:color w:val="auto"/>
          <w:sz w:val="32"/>
          <w:szCs w:val="32"/>
          <w:lang w:val="en-US" w:eastAsia="zh-CN"/>
        </w:rPr>
        <w:t>四</w:t>
      </w:r>
      <w:r>
        <w:rPr>
          <w:rFonts w:hint="eastAsia" w:ascii="Times New Roman" w:eastAsia="仿宋_GB2312"/>
          <w:b w:val="0"/>
          <w:bCs w:val="0"/>
          <w:color w:val="auto"/>
          <w:sz w:val="32"/>
          <w:szCs w:val="32"/>
        </w:rPr>
        <w:t>）</w:t>
      </w:r>
      <w:r>
        <w:rPr>
          <w:rFonts w:hint="eastAsia" w:eastAsia="仿宋_GB2312"/>
          <w:b w:val="0"/>
          <w:bCs w:val="0"/>
          <w:color w:val="auto"/>
          <w:sz w:val="32"/>
          <w:szCs w:val="32"/>
          <w:lang w:val="en-US" w:eastAsia="zh-CN"/>
        </w:rPr>
        <w:t>苗期管理</w:t>
      </w:r>
    </w:p>
    <w:p w14:paraId="32B832AB">
      <w:pPr>
        <w:pStyle w:val="15"/>
        <w:tabs>
          <w:tab w:val="left" w:pos="2426"/>
        </w:tabs>
        <w:spacing w:after="0" w:line="560" w:lineRule="exact"/>
        <w:ind w:left="0" w:firstLine="640" w:firstLineChars="200"/>
        <w:outlineLvl w:val="1"/>
        <w:rPr>
          <w:rFonts w:hint="eastAsia" w:eastAsia="仿宋_GB2312"/>
          <w:color w:val="auto"/>
        </w:rPr>
      </w:pPr>
      <w:r>
        <w:rPr>
          <w:rFonts w:hint="eastAsia" w:eastAsia="仿宋_GB2312" w:cstheme="minorBidi"/>
          <w:color w:val="auto"/>
          <w:kern w:val="2"/>
          <w:sz w:val="32"/>
          <w:szCs w:val="32"/>
          <w:lang w:val="en-US" w:eastAsia="zh-CN" w:bidi="ar"/>
        </w:rPr>
        <w:t>施肥：</w:t>
      </w:r>
    </w:p>
    <w:p w14:paraId="45A0972D">
      <w:pPr>
        <w:pStyle w:val="15"/>
        <w:tabs>
          <w:tab w:val="left" w:pos="2426"/>
        </w:tabs>
        <w:spacing w:after="0" w:line="560" w:lineRule="exact"/>
        <w:ind w:left="0" w:firstLine="640" w:firstLineChars="200"/>
        <w:outlineLvl w:val="1"/>
        <w:rPr>
          <w:rFonts w:hint="eastAsia" w:eastAsia="仿宋_GB2312"/>
          <w:color w:val="auto"/>
          <w:lang w:eastAsia="zh-CN"/>
        </w:rPr>
      </w:pPr>
      <w:r>
        <w:rPr>
          <w:rFonts w:hint="eastAsia" w:eastAsia="仿宋_GB2312"/>
          <w:color w:val="auto"/>
        </w:rPr>
        <w:t>育苗后1个月/春季萌芽期</w:t>
      </w:r>
      <w:r>
        <w:rPr>
          <w:rFonts w:hint="eastAsia" w:eastAsia="仿宋_GB2312"/>
          <w:color w:val="auto"/>
          <w:lang w:eastAsia="zh-CN"/>
        </w:rPr>
        <w:t>：</w:t>
      </w:r>
      <w:r>
        <w:rPr>
          <w:rFonts w:hint="eastAsia" w:eastAsia="仿宋_GB2312"/>
          <w:color w:val="auto"/>
        </w:rPr>
        <w:t>扦插/埋秆后1个月或春季萌芽期，种苗刚生根、抽发新芽新叶，根系吸收能力弱，需高氮养分快速促进枝叶生长、形成光合面积，为后续生长打下基础，是丛生竹苗期典型的“提苗肥”需求</w:t>
      </w:r>
      <w:r>
        <w:rPr>
          <w:rFonts w:hint="eastAsia" w:eastAsia="仿宋_GB2312"/>
          <w:color w:val="auto"/>
          <w:lang w:eastAsia="zh-CN"/>
        </w:rPr>
        <w:t>。稀释为0.5%～1%溶液淋施：南宁气温高、土壤保肥性差，液态薄肥可避免浓肥烧根，同时快速被弱根系吸收，适配种苗初期吸收能力；固体高氮复合肥则适合规模化基地便捷施用。尿素 75～120 kg/hm²、高氮复合肥 150～225 kg/hm²：兼顾南宁赤红壤氮素匮乏的特点，既满足提苗需求，又避免过量施氮导致种苗徒长、细弱、抗病性下降。</w:t>
      </w:r>
    </w:p>
    <w:p w14:paraId="24C48D3A">
      <w:pPr>
        <w:pStyle w:val="15"/>
        <w:tabs>
          <w:tab w:val="left" w:pos="2426"/>
        </w:tabs>
        <w:spacing w:after="0" w:line="560" w:lineRule="exact"/>
        <w:ind w:left="0" w:firstLine="640" w:firstLineChars="200"/>
        <w:outlineLvl w:val="1"/>
        <w:rPr>
          <w:rFonts w:hint="eastAsia" w:eastAsia="仿宋_GB2312"/>
          <w:color w:val="auto"/>
          <w:lang w:eastAsia="zh-CN"/>
        </w:rPr>
      </w:pPr>
      <w:r>
        <w:rPr>
          <w:rFonts w:hint="eastAsia" w:eastAsia="仿宋_GB2312"/>
          <w:color w:val="auto"/>
          <w:lang w:eastAsia="zh-CN"/>
        </w:rPr>
        <w:t>生长旺盛期（栽植后3个月）：栽植后3个月为种苗根茎叶同步快速生长的旺盛期，单一氮肥会导致种苗只长叶、根系弱、茎秆纤细，需氮磷钾均衡养分，同时促根、壮秆、长叶，培育整齐壮苗。行间开沟撒施+淋透水：南宁雨季降水集中，开沟施肥可防止肥料被雨水冲刷流失，淋水促进养分溶解吸收；用量225 kg/hm²～300 kg/hm² 匹配旺盛期养分消耗量，保证生长势。</w:t>
      </w:r>
    </w:p>
    <w:p w14:paraId="14D93EEF">
      <w:pPr>
        <w:pStyle w:val="15"/>
        <w:tabs>
          <w:tab w:val="left" w:pos="2426"/>
        </w:tabs>
        <w:spacing w:after="0" w:line="560" w:lineRule="exact"/>
        <w:ind w:left="0" w:firstLine="640" w:firstLineChars="200"/>
        <w:outlineLvl w:val="1"/>
        <w:rPr>
          <w:rFonts w:hint="eastAsia" w:eastAsia="仿宋_GB2312"/>
          <w:color w:val="auto"/>
          <w:lang w:eastAsia="zh-CN"/>
        </w:rPr>
      </w:pPr>
      <w:r>
        <w:rPr>
          <w:rFonts w:hint="eastAsia" w:eastAsia="仿宋_GB2312"/>
          <w:color w:val="auto"/>
          <w:lang w:eastAsia="zh-CN"/>
        </w:rPr>
        <w:t>生长后期：生长后期需停止供氮、增施磷钾：过磷酸钙补磷，促进种苗根系发达、茎秆木质化；硫酸钾补钾，提升种苗抗旱、抗病、抗倒伏能力，解决南宁高温高湿环境下种苗易嫩弱、徒长的问题。南宁赤红壤普遍缺磷、缺钾，因此用量可精准补充土壤养分缺口，平衡土壤肥力，进一步提升种苗质量。停止施肥可让种苗减少养分吸收、自然老化木质化，降低体内水分含量，增强移栽后的环境适应性；南宁种苗移栽多遇雨季，停肥可避免种苗嫩弱引发移栽烂根，大幅提高定植成活率。</w:t>
      </w:r>
    </w:p>
    <w:tbl>
      <w:tblPr>
        <w:tblStyle w:val="10"/>
        <w:tblW w:w="523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750"/>
        <w:gridCol w:w="1463"/>
        <w:gridCol w:w="755"/>
        <w:gridCol w:w="880"/>
        <w:gridCol w:w="880"/>
        <w:gridCol w:w="630"/>
        <w:gridCol w:w="755"/>
        <w:gridCol w:w="755"/>
        <w:gridCol w:w="755"/>
        <w:gridCol w:w="755"/>
        <w:gridCol w:w="802"/>
      </w:tblGrid>
      <w:tr w14:paraId="4FA50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blHeader/>
        </w:trPr>
        <w:tc>
          <w:tcPr>
            <w:tcW w:w="408" w:type="pct"/>
            <w:shd w:val="clear" w:color="auto" w:fill="auto"/>
            <w:tcMar>
              <w:top w:w="69" w:type="dxa"/>
              <w:left w:w="69" w:type="dxa"/>
              <w:bottom w:w="69" w:type="dxa"/>
              <w:right w:w="69" w:type="dxa"/>
            </w:tcMar>
            <w:vAlign w:val="center"/>
          </w:tcPr>
          <w:p w14:paraId="483D3024">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处理编号</w:t>
            </w:r>
          </w:p>
        </w:tc>
        <w:tc>
          <w:tcPr>
            <w:tcW w:w="796" w:type="pct"/>
            <w:shd w:val="clear" w:color="auto" w:fill="auto"/>
            <w:tcMar>
              <w:top w:w="69" w:type="dxa"/>
              <w:left w:w="69" w:type="dxa"/>
              <w:bottom w:w="69" w:type="dxa"/>
              <w:right w:w="69" w:type="dxa"/>
            </w:tcMar>
            <w:vAlign w:val="center"/>
          </w:tcPr>
          <w:p w14:paraId="43D42782">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施肥方案</w:t>
            </w:r>
          </w:p>
        </w:tc>
        <w:tc>
          <w:tcPr>
            <w:tcW w:w="411" w:type="pct"/>
            <w:shd w:val="clear" w:color="auto" w:fill="auto"/>
            <w:tcMar>
              <w:top w:w="69" w:type="dxa"/>
              <w:left w:w="69" w:type="dxa"/>
              <w:bottom w:w="69" w:type="dxa"/>
              <w:right w:w="69" w:type="dxa"/>
            </w:tcMar>
            <w:vAlign w:val="center"/>
          </w:tcPr>
          <w:p w14:paraId="79B6FB4C">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扦插成活率（%）</w:t>
            </w:r>
          </w:p>
        </w:tc>
        <w:tc>
          <w:tcPr>
            <w:tcW w:w="479" w:type="pct"/>
            <w:shd w:val="clear" w:color="auto" w:fill="auto"/>
            <w:tcMar>
              <w:top w:w="69" w:type="dxa"/>
              <w:left w:w="69" w:type="dxa"/>
              <w:bottom w:w="69" w:type="dxa"/>
              <w:right w:w="69" w:type="dxa"/>
            </w:tcMar>
            <w:vAlign w:val="center"/>
          </w:tcPr>
          <w:p w14:paraId="56B0F8EB">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平均苗高（cm）</w:t>
            </w:r>
          </w:p>
        </w:tc>
        <w:tc>
          <w:tcPr>
            <w:tcW w:w="479" w:type="pct"/>
            <w:shd w:val="clear" w:color="auto" w:fill="auto"/>
            <w:tcMar>
              <w:top w:w="69" w:type="dxa"/>
              <w:left w:w="69" w:type="dxa"/>
              <w:bottom w:w="69" w:type="dxa"/>
              <w:right w:w="69" w:type="dxa"/>
            </w:tcMar>
            <w:vAlign w:val="center"/>
          </w:tcPr>
          <w:p w14:paraId="5C378FF4">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平均地径（mm）</w:t>
            </w:r>
          </w:p>
        </w:tc>
        <w:tc>
          <w:tcPr>
            <w:tcW w:w="343" w:type="pct"/>
            <w:shd w:val="clear" w:color="auto" w:fill="auto"/>
            <w:tcMar>
              <w:top w:w="69" w:type="dxa"/>
              <w:left w:w="69" w:type="dxa"/>
              <w:bottom w:w="69" w:type="dxa"/>
              <w:right w:w="69" w:type="dxa"/>
            </w:tcMar>
            <w:vAlign w:val="center"/>
          </w:tcPr>
          <w:p w14:paraId="1B561A34">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根系鲜重（g / 株）</w:t>
            </w:r>
          </w:p>
        </w:tc>
        <w:tc>
          <w:tcPr>
            <w:tcW w:w="411" w:type="pct"/>
            <w:shd w:val="clear" w:color="auto" w:fill="auto"/>
            <w:tcMar>
              <w:top w:w="69" w:type="dxa"/>
              <w:left w:w="69" w:type="dxa"/>
              <w:bottom w:w="69" w:type="dxa"/>
              <w:right w:w="69" w:type="dxa"/>
            </w:tcMar>
            <w:vAlign w:val="center"/>
          </w:tcPr>
          <w:p w14:paraId="1125DEBF">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壮苗率（%）</w:t>
            </w:r>
          </w:p>
        </w:tc>
        <w:tc>
          <w:tcPr>
            <w:tcW w:w="411" w:type="pct"/>
            <w:shd w:val="clear" w:color="auto" w:fill="auto"/>
            <w:tcMar>
              <w:top w:w="69" w:type="dxa"/>
              <w:left w:w="69" w:type="dxa"/>
              <w:bottom w:w="69" w:type="dxa"/>
              <w:right w:w="69" w:type="dxa"/>
            </w:tcMar>
            <w:vAlign w:val="center"/>
          </w:tcPr>
          <w:p w14:paraId="6C6AE558">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徒长率（%）</w:t>
            </w:r>
          </w:p>
        </w:tc>
        <w:tc>
          <w:tcPr>
            <w:tcW w:w="411" w:type="pct"/>
            <w:shd w:val="clear" w:color="auto" w:fill="auto"/>
            <w:tcMar>
              <w:top w:w="69" w:type="dxa"/>
              <w:left w:w="69" w:type="dxa"/>
              <w:bottom w:w="69" w:type="dxa"/>
              <w:right w:w="69" w:type="dxa"/>
            </w:tcMar>
            <w:vAlign w:val="center"/>
          </w:tcPr>
          <w:p w14:paraId="533CEDBD">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病害发生率（%）</w:t>
            </w:r>
          </w:p>
        </w:tc>
        <w:tc>
          <w:tcPr>
            <w:tcW w:w="411" w:type="pct"/>
            <w:shd w:val="clear" w:color="auto" w:fill="auto"/>
            <w:tcMar>
              <w:top w:w="69" w:type="dxa"/>
              <w:left w:w="69" w:type="dxa"/>
              <w:bottom w:w="69" w:type="dxa"/>
              <w:right w:w="69" w:type="dxa"/>
            </w:tcMar>
            <w:vAlign w:val="center"/>
          </w:tcPr>
          <w:p w14:paraId="5EC00181">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移栽成活率（%）</w:t>
            </w:r>
          </w:p>
        </w:tc>
        <w:tc>
          <w:tcPr>
            <w:tcW w:w="436" w:type="pct"/>
            <w:shd w:val="clear" w:color="auto" w:fill="auto"/>
            <w:tcMar>
              <w:top w:w="69" w:type="dxa"/>
              <w:left w:w="69" w:type="dxa"/>
              <w:bottom w:w="69" w:type="dxa"/>
              <w:right w:w="69" w:type="dxa"/>
            </w:tcMar>
            <w:vAlign w:val="center"/>
          </w:tcPr>
          <w:p w14:paraId="7BA1333E">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综合评价</w:t>
            </w:r>
          </w:p>
        </w:tc>
      </w:tr>
      <w:tr w14:paraId="1167A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408" w:type="pct"/>
            <w:shd w:val="clear" w:color="auto" w:fill="auto"/>
            <w:tcMar>
              <w:top w:w="69" w:type="dxa"/>
              <w:left w:w="69" w:type="dxa"/>
              <w:bottom w:w="69" w:type="dxa"/>
              <w:right w:w="69" w:type="dxa"/>
            </w:tcMar>
            <w:vAlign w:val="center"/>
          </w:tcPr>
          <w:p w14:paraId="67E5A557">
            <w:pPr>
              <w:keepNext w:val="0"/>
              <w:keepLines w:val="0"/>
              <w:widowControl/>
              <w:suppressLineNumbers w:val="0"/>
              <w:spacing w:before="0" w:beforeAutospacing="0" w:after="0" w:afterAutospacing="0"/>
              <w:ind w:left="0" w:right="0"/>
              <w:jc w:val="left"/>
              <w:rPr>
                <w:rFonts w:hint="default"/>
                <w:caps w:val="0"/>
                <w:spacing w:val="0"/>
              </w:rPr>
            </w:pPr>
            <w:r>
              <w:rPr>
                <w:rStyle w:val="13"/>
                <w:rFonts w:hint="default" w:ascii="宋体" w:hAnsi="宋体" w:eastAsia="宋体" w:cs="宋体"/>
                <w:caps w:val="0"/>
                <w:spacing w:val="0"/>
                <w:kern w:val="0"/>
                <w:sz w:val="24"/>
                <w:szCs w:val="24"/>
                <w:lang w:val="en-US" w:eastAsia="zh-CN" w:bidi="ar"/>
              </w:rPr>
              <w:t>T0（</w:t>
            </w:r>
            <w:r>
              <w:rPr>
                <w:rStyle w:val="13"/>
                <w:rFonts w:hint="eastAsia" w:ascii="宋体" w:hAnsi="宋体" w:eastAsia="宋体" w:cs="宋体"/>
                <w:caps w:val="0"/>
                <w:spacing w:val="0"/>
                <w:kern w:val="0"/>
                <w:sz w:val="24"/>
                <w:szCs w:val="24"/>
                <w:lang w:val="en-US" w:eastAsia="zh-CN" w:bidi="ar"/>
              </w:rPr>
              <w:t>标准</w:t>
            </w:r>
            <w:r>
              <w:rPr>
                <w:rStyle w:val="13"/>
                <w:rFonts w:hint="default" w:ascii="宋体" w:hAnsi="宋体" w:eastAsia="宋体" w:cs="宋体"/>
                <w:caps w:val="0"/>
                <w:spacing w:val="0"/>
                <w:kern w:val="0"/>
                <w:sz w:val="24"/>
                <w:szCs w:val="24"/>
                <w:lang w:val="en-US" w:eastAsia="zh-CN" w:bidi="ar"/>
              </w:rPr>
              <w:t>方案）</w:t>
            </w:r>
          </w:p>
        </w:tc>
        <w:tc>
          <w:tcPr>
            <w:tcW w:w="796" w:type="pct"/>
            <w:shd w:val="clear" w:color="auto" w:fill="auto"/>
            <w:tcMar>
              <w:top w:w="69" w:type="dxa"/>
              <w:left w:w="69" w:type="dxa"/>
              <w:bottom w:w="69" w:type="dxa"/>
              <w:right w:w="69" w:type="dxa"/>
            </w:tcMar>
            <w:vAlign w:val="center"/>
          </w:tcPr>
          <w:p w14:paraId="2874A02B">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萌芽期：尿素 100 kg/hm²旺长期：15-15-15 复合肥 260 kg/hm²后期：过磷酸钙 260 + 硫酸钾 180 kg/hm²炼苗前 15d 停肥</w:t>
            </w:r>
          </w:p>
        </w:tc>
        <w:tc>
          <w:tcPr>
            <w:tcW w:w="411" w:type="pct"/>
            <w:shd w:val="clear" w:color="auto" w:fill="auto"/>
            <w:tcMar>
              <w:top w:w="69" w:type="dxa"/>
              <w:left w:w="69" w:type="dxa"/>
              <w:bottom w:w="69" w:type="dxa"/>
              <w:right w:w="69" w:type="dxa"/>
            </w:tcMar>
            <w:vAlign w:val="center"/>
          </w:tcPr>
          <w:p w14:paraId="4876DD5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91.3</w:t>
            </w:r>
          </w:p>
        </w:tc>
        <w:tc>
          <w:tcPr>
            <w:tcW w:w="479" w:type="pct"/>
            <w:shd w:val="clear" w:color="auto" w:fill="auto"/>
            <w:tcMar>
              <w:top w:w="69" w:type="dxa"/>
              <w:left w:w="69" w:type="dxa"/>
              <w:bottom w:w="69" w:type="dxa"/>
              <w:right w:w="69" w:type="dxa"/>
            </w:tcMar>
            <w:vAlign w:val="center"/>
          </w:tcPr>
          <w:p w14:paraId="2BAE38C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35.2</w:t>
            </w:r>
          </w:p>
        </w:tc>
        <w:tc>
          <w:tcPr>
            <w:tcW w:w="479" w:type="pct"/>
            <w:shd w:val="clear" w:color="auto" w:fill="auto"/>
            <w:tcMar>
              <w:top w:w="69" w:type="dxa"/>
              <w:left w:w="69" w:type="dxa"/>
              <w:bottom w:w="69" w:type="dxa"/>
              <w:right w:w="69" w:type="dxa"/>
            </w:tcMar>
            <w:vAlign w:val="center"/>
          </w:tcPr>
          <w:p w14:paraId="2CAF779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2.9</w:t>
            </w:r>
          </w:p>
        </w:tc>
        <w:tc>
          <w:tcPr>
            <w:tcW w:w="343" w:type="pct"/>
            <w:shd w:val="clear" w:color="auto" w:fill="auto"/>
            <w:tcMar>
              <w:top w:w="69" w:type="dxa"/>
              <w:left w:w="69" w:type="dxa"/>
              <w:bottom w:w="69" w:type="dxa"/>
              <w:right w:w="69" w:type="dxa"/>
            </w:tcMar>
            <w:vAlign w:val="center"/>
          </w:tcPr>
          <w:p w14:paraId="052D42D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11.6</w:t>
            </w:r>
          </w:p>
        </w:tc>
        <w:tc>
          <w:tcPr>
            <w:tcW w:w="411" w:type="pct"/>
            <w:shd w:val="clear" w:color="auto" w:fill="auto"/>
            <w:tcMar>
              <w:top w:w="69" w:type="dxa"/>
              <w:left w:w="69" w:type="dxa"/>
              <w:bottom w:w="69" w:type="dxa"/>
              <w:right w:w="69" w:type="dxa"/>
            </w:tcMar>
            <w:vAlign w:val="center"/>
          </w:tcPr>
          <w:p w14:paraId="7B43BBD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90.4</w:t>
            </w:r>
          </w:p>
        </w:tc>
        <w:tc>
          <w:tcPr>
            <w:tcW w:w="411" w:type="pct"/>
            <w:shd w:val="clear" w:color="auto" w:fill="auto"/>
            <w:tcMar>
              <w:top w:w="69" w:type="dxa"/>
              <w:left w:w="69" w:type="dxa"/>
              <w:bottom w:w="69" w:type="dxa"/>
              <w:right w:w="69" w:type="dxa"/>
            </w:tcMar>
            <w:vAlign w:val="center"/>
          </w:tcPr>
          <w:p w14:paraId="3E595A6E">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2.1</w:t>
            </w:r>
          </w:p>
        </w:tc>
        <w:tc>
          <w:tcPr>
            <w:tcW w:w="411" w:type="pct"/>
            <w:shd w:val="clear" w:color="auto" w:fill="auto"/>
            <w:tcMar>
              <w:top w:w="69" w:type="dxa"/>
              <w:left w:w="69" w:type="dxa"/>
              <w:bottom w:w="69" w:type="dxa"/>
              <w:right w:w="69" w:type="dxa"/>
            </w:tcMar>
            <w:vAlign w:val="center"/>
          </w:tcPr>
          <w:p w14:paraId="20DE72D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2.8</w:t>
            </w:r>
          </w:p>
        </w:tc>
        <w:tc>
          <w:tcPr>
            <w:tcW w:w="411" w:type="pct"/>
            <w:shd w:val="clear" w:color="auto" w:fill="auto"/>
            <w:tcMar>
              <w:top w:w="69" w:type="dxa"/>
              <w:left w:w="69" w:type="dxa"/>
              <w:bottom w:w="69" w:type="dxa"/>
              <w:right w:w="69" w:type="dxa"/>
            </w:tcMar>
            <w:vAlign w:val="center"/>
          </w:tcPr>
          <w:p w14:paraId="7C78939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92.6</w:t>
            </w:r>
          </w:p>
        </w:tc>
        <w:tc>
          <w:tcPr>
            <w:tcW w:w="436" w:type="pct"/>
            <w:shd w:val="clear" w:color="auto" w:fill="auto"/>
            <w:tcMar>
              <w:top w:w="69" w:type="dxa"/>
              <w:left w:w="69" w:type="dxa"/>
              <w:bottom w:w="69" w:type="dxa"/>
              <w:right w:w="69" w:type="dxa"/>
            </w:tcMar>
            <w:vAlign w:val="center"/>
          </w:tcPr>
          <w:p w14:paraId="5E9ADF95">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最优</w:t>
            </w:r>
          </w:p>
        </w:tc>
      </w:tr>
      <w:tr w14:paraId="29DB4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408" w:type="pct"/>
            <w:shd w:val="clear" w:color="auto" w:fill="auto"/>
            <w:tcMar>
              <w:top w:w="69" w:type="dxa"/>
              <w:left w:w="69" w:type="dxa"/>
              <w:bottom w:w="69" w:type="dxa"/>
              <w:right w:w="69" w:type="dxa"/>
            </w:tcMar>
            <w:vAlign w:val="center"/>
          </w:tcPr>
          <w:p w14:paraId="7161ADA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T1</w:t>
            </w:r>
          </w:p>
        </w:tc>
        <w:tc>
          <w:tcPr>
            <w:tcW w:w="796" w:type="pct"/>
            <w:shd w:val="clear" w:color="auto" w:fill="auto"/>
            <w:tcMar>
              <w:top w:w="69" w:type="dxa"/>
              <w:left w:w="69" w:type="dxa"/>
              <w:bottom w:w="69" w:type="dxa"/>
              <w:right w:w="69" w:type="dxa"/>
            </w:tcMar>
            <w:vAlign w:val="center"/>
          </w:tcPr>
          <w:p w14:paraId="07CBE77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萌芽期不施肥，其余同 T0</w:t>
            </w:r>
          </w:p>
        </w:tc>
        <w:tc>
          <w:tcPr>
            <w:tcW w:w="411" w:type="pct"/>
            <w:shd w:val="clear" w:color="auto" w:fill="auto"/>
            <w:tcMar>
              <w:top w:w="69" w:type="dxa"/>
              <w:left w:w="69" w:type="dxa"/>
              <w:bottom w:w="69" w:type="dxa"/>
              <w:right w:w="69" w:type="dxa"/>
            </w:tcMar>
            <w:vAlign w:val="center"/>
          </w:tcPr>
          <w:p w14:paraId="02763E9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78.5</w:t>
            </w:r>
          </w:p>
        </w:tc>
        <w:tc>
          <w:tcPr>
            <w:tcW w:w="479" w:type="pct"/>
            <w:shd w:val="clear" w:color="auto" w:fill="auto"/>
            <w:tcMar>
              <w:top w:w="69" w:type="dxa"/>
              <w:left w:w="69" w:type="dxa"/>
              <w:bottom w:w="69" w:type="dxa"/>
              <w:right w:w="69" w:type="dxa"/>
            </w:tcMar>
            <w:vAlign w:val="center"/>
          </w:tcPr>
          <w:p w14:paraId="005EE8F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22.6</w:t>
            </w:r>
          </w:p>
        </w:tc>
        <w:tc>
          <w:tcPr>
            <w:tcW w:w="479" w:type="pct"/>
            <w:shd w:val="clear" w:color="auto" w:fill="auto"/>
            <w:tcMar>
              <w:top w:w="69" w:type="dxa"/>
              <w:left w:w="69" w:type="dxa"/>
              <w:bottom w:w="69" w:type="dxa"/>
              <w:right w:w="69" w:type="dxa"/>
            </w:tcMar>
            <w:vAlign w:val="center"/>
          </w:tcPr>
          <w:p w14:paraId="77832A0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2.0</w:t>
            </w:r>
          </w:p>
        </w:tc>
        <w:tc>
          <w:tcPr>
            <w:tcW w:w="343" w:type="pct"/>
            <w:shd w:val="clear" w:color="auto" w:fill="auto"/>
            <w:tcMar>
              <w:top w:w="69" w:type="dxa"/>
              <w:left w:w="69" w:type="dxa"/>
              <w:bottom w:w="69" w:type="dxa"/>
              <w:right w:w="69" w:type="dxa"/>
            </w:tcMar>
            <w:vAlign w:val="center"/>
          </w:tcPr>
          <w:p w14:paraId="4FF734F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6.3</w:t>
            </w:r>
          </w:p>
        </w:tc>
        <w:tc>
          <w:tcPr>
            <w:tcW w:w="411" w:type="pct"/>
            <w:shd w:val="clear" w:color="auto" w:fill="auto"/>
            <w:tcMar>
              <w:top w:w="69" w:type="dxa"/>
              <w:left w:w="69" w:type="dxa"/>
              <w:bottom w:w="69" w:type="dxa"/>
              <w:right w:w="69" w:type="dxa"/>
            </w:tcMar>
            <w:vAlign w:val="center"/>
          </w:tcPr>
          <w:p w14:paraId="2EDB3EC8">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41.2</w:t>
            </w:r>
          </w:p>
        </w:tc>
        <w:tc>
          <w:tcPr>
            <w:tcW w:w="411" w:type="pct"/>
            <w:shd w:val="clear" w:color="auto" w:fill="auto"/>
            <w:tcMar>
              <w:top w:w="69" w:type="dxa"/>
              <w:left w:w="69" w:type="dxa"/>
              <w:bottom w:w="69" w:type="dxa"/>
              <w:right w:w="69" w:type="dxa"/>
            </w:tcMar>
            <w:vAlign w:val="center"/>
          </w:tcPr>
          <w:p w14:paraId="606F60BE">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0.0</w:t>
            </w:r>
          </w:p>
        </w:tc>
        <w:tc>
          <w:tcPr>
            <w:tcW w:w="411" w:type="pct"/>
            <w:shd w:val="clear" w:color="auto" w:fill="auto"/>
            <w:tcMar>
              <w:top w:w="69" w:type="dxa"/>
              <w:left w:w="69" w:type="dxa"/>
              <w:bottom w:w="69" w:type="dxa"/>
              <w:right w:w="69" w:type="dxa"/>
            </w:tcMar>
            <w:vAlign w:val="center"/>
          </w:tcPr>
          <w:p w14:paraId="4F57547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5.3</w:t>
            </w:r>
          </w:p>
        </w:tc>
        <w:tc>
          <w:tcPr>
            <w:tcW w:w="411" w:type="pct"/>
            <w:shd w:val="clear" w:color="auto" w:fill="auto"/>
            <w:tcMar>
              <w:top w:w="69" w:type="dxa"/>
              <w:left w:w="69" w:type="dxa"/>
              <w:bottom w:w="69" w:type="dxa"/>
              <w:right w:w="69" w:type="dxa"/>
            </w:tcMar>
            <w:vAlign w:val="center"/>
          </w:tcPr>
          <w:p w14:paraId="376A7EF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71.3</w:t>
            </w:r>
          </w:p>
        </w:tc>
        <w:tc>
          <w:tcPr>
            <w:tcW w:w="436" w:type="pct"/>
            <w:shd w:val="clear" w:color="auto" w:fill="auto"/>
            <w:tcMar>
              <w:top w:w="69" w:type="dxa"/>
              <w:left w:w="69" w:type="dxa"/>
              <w:bottom w:w="69" w:type="dxa"/>
              <w:right w:w="69" w:type="dxa"/>
            </w:tcMar>
            <w:vAlign w:val="center"/>
          </w:tcPr>
          <w:p w14:paraId="3264F78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极差</w:t>
            </w:r>
          </w:p>
        </w:tc>
      </w:tr>
      <w:tr w14:paraId="36E56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408" w:type="pct"/>
            <w:shd w:val="clear" w:color="auto" w:fill="auto"/>
            <w:tcMar>
              <w:top w:w="69" w:type="dxa"/>
              <w:left w:w="69" w:type="dxa"/>
              <w:bottom w:w="69" w:type="dxa"/>
              <w:right w:w="69" w:type="dxa"/>
            </w:tcMar>
            <w:vAlign w:val="center"/>
          </w:tcPr>
          <w:p w14:paraId="15B6D0B5">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T2</w:t>
            </w:r>
          </w:p>
        </w:tc>
        <w:tc>
          <w:tcPr>
            <w:tcW w:w="796" w:type="pct"/>
            <w:shd w:val="clear" w:color="auto" w:fill="auto"/>
            <w:tcMar>
              <w:top w:w="69" w:type="dxa"/>
              <w:left w:w="69" w:type="dxa"/>
              <w:bottom w:w="69" w:type="dxa"/>
              <w:right w:w="69" w:type="dxa"/>
            </w:tcMar>
            <w:vAlign w:val="center"/>
          </w:tcPr>
          <w:p w14:paraId="0F65AC1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萌芽期尿素 180 kg/hm²，其余同 T0</w:t>
            </w:r>
          </w:p>
        </w:tc>
        <w:tc>
          <w:tcPr>
            <w:tcW w:w="411" w:type="pct"/>
            <w:shd w:val="clear" w:color="auto" w:fill="auto"/>
            <w:tcMar>
              <w:top w:w="69" w:type="dxa"/>
              <w:left w:w="69" w:type="dxa"/>
              <w:bottom w:w="69" w:type="dxa"/>
              <w:right w:w="69" w:type="dxa"/>
            </w:tcMar>
            <w:vAlign w:val="center"/>
          </w:tcPr>
          <w:p w14:paraId="363178C0">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87.2</w:t>
            </w:r>
          </w:p>
        </w:tc>
        <w:tc>
          <w:tcPr>
            <w:tcW w:w="479" w:type="pct"/>
            <w:shd w:val="clear" w:color="auto" w:fill="auto"/>
            <w:tcMar>
              <w:top w:w="69" w:type="dxa"/>
              <w:left w:w="69" w:type="dxa"/>
              <w:bottom w:w="69" w:type="dxa"/>
              <w:right w:w="69" w:type="dxa"/>
            </w:tcMar>
            <w:vAlign w:val="center"/>
          </w:tcPr>
          <w:p w14:paraId="3C53EA1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41.8</w:t>
            </w:r>
          </w:p>
        </w:tc>
        <w:tc>
          <w:tcPr>
            <w:tcW w:w="479" w:type="pct"/>
            <w:shd w:val="clear" w:color="auto" w:fill="auto"/>
            <w:tcMar>
              <w:top w:w="69" w:type="dxa"/>
              <w:left w:w="69" w:type="dxa"/>
              <w:bottom w:w="69" w:type="dxa"/>
              <w:right w:w="69" w:type="dxa"/>
            </w:tcMar>
            <w:vAlign w:val="center"/>
          </w:tcPr>
          <w:p w14:paraId="4F15809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2.3</w:t>
            </w:r>
          </w:p>
        </w:tc>
        <w:tc>
          <w:tcPr>
            <w:tcW w:w="343" w:type="pct"/>
            <w:shd w:val="clear" w:color="auto" w:fill="auto"/>
            <w:tcMar>
              <w:top w:w="69" w:type="dxa"/>
              <w:left w:w="69" w:type="dxa"/>
              <w:bottom w:w="69" w:type="dxa"/>
              <w:right w:w="69" w:type="dxa"/>
            </w:tcMar>
            <w:vAlign w:val="center"/>
          </w:tcPr>
          <w:p w14:paraId="732191C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7.5</w:t>
            </w:r>
          </w:p>
        </w:tc>
        <w:tc>
          <w:tcPr>
            <w:tcW w:w="411" w:type="pct"/>
            <w:shd w:val="clear" w:color="auto" w:fill="auto"/>
            <w:tcMar>
              <w:top w:w="69" w:type="dxa"/>
              <w:left w:w="69" w:type="dxa"/>
              <w:bottom w:w="69" w:type="dxa"/>
              <w:right w:w="69" w:type="dxa"/>
            </w:tcMar>
            <w:vAlign w:val="center"/>
          </w:tcPr>
          <w:p w14:paraId="4845CB6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58.7</w:t>
            </w:r>
          </w:p>
        </w:tc>
        <w:tc>
          <w:tcPr>
            <w:tcW w:w="411" w:type="pct"/>
            <w:shd w:val="clear" w:color="auto" w:fill="auto"/>
            <w:tcMar>
              <w:top w:w="69" w:type="dxa"/>
              <w:left w:w="69" w:type="dxa"/>
              <w:bottom w:w="69" w:type="dxa"/>
              <w:right w:w="69" w:type="dxa"/>
            </w:tcMar>
            <w:vAlign w:val="center"/>
          </w:tcPr>
          <w:p w14:paraId="606E6BC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28.6</w:t>
            </w:r>
          </w:p>
        </w:tc>
        <w:tc>
          <w:tcPr>
            <w:tcW w:w="411" w:type="pct"/>
            <w:shd w:val="clear" w:color="auto" w:fill="auto"/>
            <w:tcMar>
              <w:top w:w="69" w:type="dxa"/>
              <w:left w:w="69" w:type="dxa"/>
              <w:bottom w:w="69" w:type="dxa"/>
              <w:right w:w="69" w:type="dxa"/>
            </w:tcMar>
            <w:vAlign w:val="center"/>
          </w:tcPr>
          <w:p w14:paraId="21173A58">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11.5</w:t>
            </w:r>
          </w:p>
        </w:tc>
        <w:tc>
          <w:tcPr>
            <w:tcW w:w="411" w:type="pct"/>
            <w:shd w:val="clear" w:color="auto" w:fill="auto"/>
            <w:tcMar>
              <w:top w:w="69" w:type="dxa"/>
              <w:left w:w="69" w:type="dxa"/>
              <w:bottom w:w="69" w:type="dxa"/>
              <w:right w:w="69" w:type="dxa"/>
            </w:tcMar>
            <w:vAlign w:val="center"/>
          </w:tcPr>
          <w:p w14:paraId="44F3661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68.5</w:t>
            </w:r>
          </w:p>
        </w:tc>
        <w:tc>
          <w:tcPr>
            <w:tcW w:w="436" w:type="pct"/>
            <w:shd w:val="clear" w:color="auto" w:fill="auto"/>
            <w:tcMar>
              <w:top w:w="69" w:type="dxa"/>
              <w:left w:w="69" w:type="dxa"/>
              <w:bottom w:w="69" w:type="dxa"/>
              <w:right w:w="69" w:type="dxa"/>
            </w:tcMar>
            <w:vAlign w:val="center"/>
          </w:tcPr>
          <w:p w14:paraId="282E0E51">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较差</w:t>
            </w:r>
          </w:p>
        </w:tc>
      </w:tr>
      <w:tr w14:paraId="051A8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408" w:type="pct"/>
            <w:shd w:val="clear" w:color="auto" w:fill="auto"/>
            <w:tcMar>
              <w:top w:w="69" w:type="dxa"/>
              <w:left w:w="69" w:type="dxa"/>
              <w:bottom w:w="69" w:type="dxa"/>
              <w:right w:w="69" w:type="dxa"/>
            </w:tcMar>
            <w:vAlign w:val="center"/>
          </w:tcPr>
          <w:p w14:paraId="3616093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T3</w:t>
            </w:r>
          </w:p>
        </w:tc>
        <w:tc>
          <w:tcPr>
            <w:tcW w:w="796" w:type="pct"/>
            <w:shd w:val="clear" w:color="auto" w:fill="auto"/>
            <w:tcMar>
              <w:top w:w="69" w:type="dxa"/>
              <w:left w:w="69" w:type="dxa"/>
              <w:bottom w:w="69" w:type="dxa"/>
              <w:right w:w="69" w:type="dxa"/>
            </w:tcMar>
            <w:vAlign w:val="center"/>
          </w:tcPr>
          <w:p w14:paraId="2753554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旺长期不施肥，其余同 T0</w:t>
            </w:r>
          </w:p>
        </w:tc>
        <w:tc>
          <w:tcPr>
            <w:tcW w:w="411" w:type="pct"/>
            <w:shd w:val="clear" w:color="auto" w:fill="auto"/>
            <w:tcMar>
              <w:top w:w="69" w:type="dxa"/>
              <w:left w:w="69" w:type="dxa"/>
              <w:bottom w:w="69" w:type="dxa"/>
              <w:right w:w="69" w:type="dxa"/>
            </w:tcMar>
            <w:vAlign w:val="center"/>
          </w:tcPr>
          <w:p w14:paraId="285E2970">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86.4</w:t>
            </w:r>
          </w:p>
        </w:tc>
        <w:tc>
          <w:tcPr>
            <w:tcW w:w="479" w:type="pct"/>
            <w:shd w:val="clear" w:color="auto" w:fill="auto"/>
            <w:tcMar>
              <w:top w:w="69" w:type="dxa"/>
              <w:left w:w="69" w:type="dxa"/>
              <w:bottom w:w="69" w:type="dxa"/>
              <w:right w:w="69" w:type="dxa"/>
            </w:tcMar>
            <w:vAlign w:val="center"/>
          </w:tcPr>
          <w:p w14:paraId="1B84621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27.3</w:t>
            </w:r>
          </w:p>
        </w:tc>
        <w:tc>
          <w:tcPr>
            <w:tcW w:w="479" w:type="pct"/>
            <w:shd w:val="clear" w:color="auto" w:fill="auto"/>
            <w:tcMar>
              <w:top w:w="69" w:type="dxa"/>
              <w:left w:w="69" w:type="dxa"/>
              <w:bottom w:w="69" w:type="dxa"/>
              <w:right w:w="69" w:type="dxa"/>
            </w:tcMar>
            <w:vAlign w:val="center"/>
          </w:tcPr>
          <w:p w14:paraId="7314B9D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2.2</w:t>
            </w:r>
          </w:p>
        </w:tc>
        <w:tc>
          <w:tcPr>
            <w:tcW w:w="343" w:type="pct"/>
            <w:shd w:val="clear" w:color="auto" w:fill="auto"/>
            <w:tcMar>
              <w:top w:w="69" w:type="dxa"/>
              <w:left w:w="69" w:type="dxa"/>
              <w:bottom w:w="69" w:type="dxa"/>
              <w:right w:w="69" w:type="dxa"/>
            </w:tcMar>
            <w:vAlign w:val="center"/>
          </w:tcPr>
          <w:p w14:paraId="15105461">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8.1</w:t>
            </w:r>
          </w:p>
        </w:tc>
        <w:tc>
          <w:tcPr>
            <w:tcW w:w="411" w:type="pct"/>
            <w:shd w:val="clear" w:color="auto" w:fill="auto"/>
            <w:tcMar>
              <w:top w:w="69" w:type="dxa"/>
              <w:left w:w="69" w:type="dxa"/>
              <w:bottom w:w="69" w:type="dxa"/>
              <w:right w:w="69" w:type="dxa"/>
            </w:tcMar>
            <w:vAlign w:val="center"/>
          </w:tcPr>
          <w:p w14:paraId="33BE88E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53.6</w:t>
            </w:r>
          </w:p>
        </w:tc>
        <w:tc>
          <w:tcPr>
            <w:tcW w:w="411" w:type="pct"/>
            <w:shd w:val="clear" w:color="auto" w:fill="auto"/>
            <w:tcMar>
              <w:top w:w="69" w:type="dxa"/>
              <w:left w:w="69" w:type="dxa"/>
              <w:bottom w:w="69" w:type="dxa"/>
              <w:right w:w="69" w:type="dxa"/>
            </w:tcMar>
            <w:vAlign w:val="center"/>
          </w:tcPr>
          <w:p w14:paraId="1557DB20">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1.2</w:t>
            </w:r>
          </w:p>
        </w:tc>
        <w:tc>
          <w:tcPr>
            <w:tcW w:w="411" w:type="pct"/>
            <w:shd w:val="clear" w:color="auto" w:fill="auto"/>
            <w:tcMar>
              <w:top w:w="69" w:type="dxa"/>
              <w:left w:w="69" w:type="dxa"/>
              <w:bottom w:w="69" w:type="dxa"/>
              <w:right w:w="69" w:type="dxa"/>
            </w:tcMar>
            <w:vAlign w:val="center"/>
          </w:tcPr>
          <w:p w14:paraId="27A5E6DE">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4.9</w:t>
            </w:r>
          </w:p>
        </w:tc>
        <w:tc>
          <w:tcPr>
            <w:tcW w:w="411" w:type="pct"/>
            <w:shd w:val="clear" w:color="auto" w:fill="auto"/>
            <w:tcMar>
              <w:top w:w="69" w:type="dxa"/>
              <w:left w:w="69" w:type="dxa"/>
              <w:bottom w:w="69" w:type="dxa"/>
              <w:right w:w="69" w:type="dxa"/>
            </w:tcMar>
            <w:vAlign w:val="center"/>
          </w:tcPr>
          <w:p w14:paraId="7E89EFE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74.2</w:t>
            </w:r>
          </w:p>
        </w:tc>
        <w:tc>
          <w:tcPr>
            <w:tcW w:w="436" w:type="pct"/>
            <w:shd w:val="clear" w:color="auto" w:fill="auto"/>
            <w:tcMar>
              <w:top w:w="69" w:type="dxa"/>
              <w:left w:w="69" w:type="dxa"/>
              <w:bottom w:w="69" w:type="dxa"/>
              <w:right w:w="69" w:type="dxa"/>
            </w:tcMar>
            <w:vAlign w:val="center"/>
          </w:tcPr>
          <w:p w14:paraId="2B2AB31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较差</w:t>
            </w:r>
          </w:p>
        </w:tc>
      </w:tr>
      <w:tr w14:paraId="306B2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408" w:type="pct"/>
            <w:shd w:val="clear" w:color="auto" w:fill="auto"/>
            <w:tcMar>
              <w:top w:w="69" w:type="dxa"/>
              <w:left w:w="69" w:type="dxa"/>
              <w:bottom w:w="69" w:type="dxa"/>
              <w:right w:w="69" w:type="dxa"/>
            </w:tcMar>
            <w:vAlign w:val="center"/>
          </w:tcPr>
          <w:p w14:paraId="5150329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T4</w:t>
            </w:r>
          </w:p>
        </w:tc>
        <w:tc>
          <w:tcPr>
            <w:tcW w:w="796" w:type="pct"/>
            <w:shd w:val="clear" w:color="auto" w:fill="auto"/>
            <w:tcMar>
              <w:top w:w="69" w:type="dxa"/>
              <w:left w:w="69" w:type="dxa"/>
              <w:bottom w:w="69" w:type="dxa"/>
              <w:right w:w="69" w:type="dxa"/>
            </w:tcMar>
            <w:vAlign w:val="center"/>
          </w:tcPr>
          <w:p w14:paraId="45002BFB">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旺长期复合肥 380 kg/hm²，其余同 T0</w:t>
            </w:r>
          </w:p>
        </w:tc>
        <w:tc>
          <w:tcPr>
            <w:tcW w:w="411" w:type="pct"/>
            <w:shd w:val="clear" w:color="auto" w:fill="auto"/>
            <w:tcMar>
              <w:top w:w="69" w:type="dxa"/>
              <w:left w:w="69" w:type="dxa"/>
              <w:bottom w:w="69" w:type="dxa"/>
              <w:right w:w="69" w:type="dxa"/>
            </w:tcMar>
            <w:vAlign w:val="center"/>
          </w:tcPr>
          <w:p w14:paraId="62A12EC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83.6</w:t>
            </w:r>
          </w:p>
        </w:tc>
        <w:tc>
          <w:tcPr>
            <w:tcW w:w="479" w:type="pct"/>
            <w:shd w:val="clear" w:color="auto" w:fill="auto"/>
            <w:tcMar>
              <w:top w:w="69" w:type="dxa"/>
              <w:left w:w="69" w:type="dxa"/>
              <w:bottom w:w="69" w:type="dxa"/>
              <w:right w:w="69" w:type="dxa"/>
            </w:tcMar>
            <w:vAlign w:val="center"/>
          </w:tcPr>
          <w:p w14:paraId="3A0127E1">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38.5</w:t>
            </w:r>
          </w:p>
        </w:tc>
        <w:tc>
          <w:tcPr>
            <w:tcW w:w="479" w:type="pct"/>
            <w:shd w:val="clear" w:color="auto" w:fill="auto"/>
            <w:tcMar>
              <w:top w:w="69" w:type="dxa"/>
              <w:left w:w="69" w:type="dxa"/>
              <w:bottom w:w="69" w:type="dxa"/>
              <w:right w:w="69" w:type="dxa"/>
            </w:tcMar>
            <w:vAlign w:val="center"/>
          </w:tcPr>
          <w:p w14:paraId="1D23549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2.6</w:t>
            </w:r>
          </w:p>
        </w:tc>
        <w:tc>
          <w:tcPr>
            <w:tcW w:w="343" w:type="pct"/>
            <w:shd w:val="clear" w:color="auto" w:fill="auto"/>
            <w:tcMar>
              <w:top w:w="69" w:type="dxa"/>
              <w:left w:w="69" w:type="dxa"/>
              <w:bottom w:w="69" w:type="dxa"/>
              <w:right w:w="69" w:type="dxa"/>
            </w:tcMar>
            <w:vAlign w:val="center"/>
          </w:tcPr>
          <w:p w14:paraId="1206569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9.2</w:t>
            </w:r>
          </w:p>
        </w:tc>
        <w:tc>
          <w:tcPr>
            <w:tcW w:w="411" w:type="pct"/>
            <w:shd w:val="clear" w:color="auto" w:fill="auto"/>
            <w:tcMar>
              <w:top w:w="69" w:type="dxa"/>
              <w:left w:w="69" w:type="dxa"/>
              <w:bottom w:w="69" w:type="dxa"/>
              <w:right w:w="69" w:type="dxa"/>
            </w:tcMar>
            <w:vAlign w:val="center"/>
          </w:tcPr>
          <w:p w14:paraId="672B37A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69.3</w:t>
            </w:r>
          </w:p>
        </w:tc>
        <w:tc>
          <w:tcPr>
            <w:tcW w:w="411" w:type="pct"/>
            <w:shd w:val="clear" w:color="auto" w:fill="auto"/>
            <w:tcMar>
              <w:top w:w="69" w:type="dxa"/>
              <w:left w:w="69" w:type="dxa"/>
              <w:bottom w:w="69" w:type="dxa"/>
              <w:right w:w="69" w:type="dxa"/>
            </w:tcMar>
            <w:vAlign w:val="center"/>
          </w:tcPr>
          <w:p w14:paraId="649916C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15.7</w:t>
            </w:r>
          </w:p>
        </w:tc>
        <w:tc>
          <w:tcPr>
            <w:tcW w:w="411" w:type="pct"/>
            <w:shd w:val="clear" w:color="auto" w:fill="auto"/>
            <w:tcMar>
              <w:top w:w="69" w:type="dxa"/>
              <w:left w:w="69" w:type="dxa"/>
              <w:bottom w:w="69" w:type="dxa"/>
              <w:right w:w="69" w:type="dxa"/>
            </w:tcMar>
            <w:vAlign w:val="center"/>
          </w:tcPr>
          <w:p w14:paraId="4451494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9.2</w:t>
            </w:r>
          </w:p>
        </w:tc>
        <w:tc>
          <w:tcPr>
            <w:tcW w:w="411" w:type="pct"/>
            <w:shd w:val="clear" w:color="auto" w:fill="auto"/>
            <w:tcMar>
              <w:top w:w="69" w:type="dxa"/>
              <w:left w:w="69" w:type="dxa"/>
              <w:bottom w:w="69" w:type="dxa"/>
              <w:right w:w="69" w:type="dxa"/>
            </w:tcMar>
            <w:vAlign w:val="center"/>
          </w:tcPr>
          <w:p w14:paraId="3B2C6E5B">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75.8</w:t>
            </w:r>
          </w:p>
        </w:tc>
        <w:tc>
          <w:tcPr>
            <w:tcW w:w="436" w:type="pct"/>
            <w:shd w:val="clear" w:color="auto" w:fill="auto"/>
            <w:tcMar>
              <w:top w:w="69" w:type="dxa"/>
              <w:left w:w="69" w:type="dxa"/>
              <w:bottom w:w="69" w:type="dxa"/>
              <w:right w:w="69" w:type="dxa"/>
            </w:tcMar>
            <w:vAlign w:val="center"/>
          </w:tcPr>
          <w:p w14:paraId="4D9BBE4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一般</w:t>
            </w:r>
          </w:p>
        </w:tc>
      </w:tr>
      <w:tr w14:paraId="75073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408" w:type="pct"/>
            <w:shd w:val="clear" w:color="auto" w:fill="auto"/>
            <w:tcMar>
              <w:top w:w="69" w:type="dxa"/>
              <w:left w:w="69" w:type="dxa"/>
              <w:bottom w:w="69" w:type="dxa"/>
              <w:right w:w="69" w:type="dxa"/>
            </w:tcMar>
            <w:vAlign w:val="center"/>
          </w:tcPr>
          <w:p w14:paraId="36F2B9AD">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T5</w:t>
            </w:r>
          </w:p>
        </w:tc>
        <w:tc>
          <w:tcPr>
            <w:tcW w:w="796" w:type="pct"/>
            <w:shd w:val="clear" w:color="auto" w:fill="auto"/>
            <w:tcMar>
              <w:top w:w="69" w:type="dxa"/>
              <w:left w:w="69" w:type="dxa"/>
              <w:bottom w:w="69" w:type="dxa"/>
              <w:right w:w="69" w:type="dxa"/>
            </w:tcMar>
            <w:vAlign w:val="center"/>
          </w:tcPr>
          <w:p w14:paraId="012AC82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后期不施磷钾肥，其余同 T0</w:t>
            </w:r>
          </w:p>
        </w:tc>
        <w:tc>
          <w:tcPr>
            <w:tcW w:w="411" w:type="pct"/>
            <w:shd w:val="clear" w:color="auto" w:fill="auto"/>
            <w:tcMar>
              <w:top w:w="69" w:type="dxa"/>
              <w:left w:w="69" w:type="dxa"/>
              <w:bottom w:w="69" w:type="dxa"/>
              <w:right w:w="69" w:type="dxa"/>
            </w:tcMar>
            <w:vAlign w:val="center"/>
          </w:tcPr>
          <w:p w14:paraId="14C8715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89.1</w:t>
            </w:r>
          </w:p>
        </w:tc>
        <w:tc>
          <w:tcPr>
            <w:tcW w:w="479" w:type="pct"/>
            <w:shd w:val="clear" w:color="auto" w:fill="auto"/>
            <w:tcMar>
              <w:top w:w="69" w:type="dxa"/>
              <w:left w:w="69" w:type="dxa"/>
              <w:bottom w:w="69" w:type="dxa"/>
              <w:right w:w="69" w:type="dxa"/>
            </w:tcMar>
            <w:vAlign w:val="center"/>
          </w:tcPr>
          <w:p w14:paraId="76BF27B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36.7</w:t>
            </w:r>
          </w:p>
        </w:tc>
        <w:tc>
          <w:tcPr>
            <w:tcW w:w="479" w:type="pct"/>
            <w:shd w:val="clear" w:color="auto" w:fill="auto"/>
            <w:tcMar>
              <w:top w:w="69" w:type="dxa"/>
              <w:left w:w="69" w:type="dxa"/>
              <w:bottom w:w="69" w:type="dxa"/>
              <w:right w:w="69" w:type="dxa"/>
            </w:tcMar>
            <w:vAlign w:val="center"/>
          </w:tcPr>
          <w:p w14:paraId="19A372D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2.4</w:t>
            </w:r>
          </w:p>
        </w:tc>
        <w:tc>
          <w:tcPr>
            <w:tcW w:w="343" w:type="pct"/>
            <w:shd w:val="clear" w:color="auto" w:fill="auto"/>
            <w:tcMar>
              <w:top w:w="69" w:type="dxa"/>
              <w:left w:w="69" w:type="dxa"/>
              <w:bottom w:w="69" w:type="dxa"/>
              <w:right w:w="69" w:type="dxa"/>
            </w:tcMar>
            <w:vAlign w:val="center"/>
          </w:tcPr>
          <w:p w14:paraId="4DF56FE0">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7.8</w:t>
            </w:r>
          </w:p>
        </w:tc>
        <w:tc>
          <w:tcPr>
            <w:tcW w:w="411" w:type="pct"/>
            <w:shd w:val="clear" w:color="auto" w:fill="auto"/>
            <w:tcMar>
              <w:top w:w="69" w:type="dxa"/>
              <w:left w:w="69" w:type="dxa"/>
              <w:bottom w:w="69" w:type="dxa"/>
              <w:right w:w="69" w:type="dxa"/>
            </w:tcMar>
            <w:vAlign w:val="center"/>
          </w:tcPr>
          <w:p w14:paraId="69523FA2">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62.5</w:t>
            </w:r>
          </w:p>
        </w:tc>
        <w:tc>
          <w:tcPr>
            <w:tcW w:w="411" w:type="pct"/>
            <w:shd w:val="clear" w:color="auto" w:fill="auto"/>
            <w:tcMar>
              <w:top w:w="69" w:type="dxa"/>
              <w:left w:w="69" w:type="dxa"/>
              <w:bottom w:w="69" w:type="dxa"/>
              <w:right w:w="69" w:type="dxa"/>
            </w:tcMar>
            <w:vAlign w:val="center"/>
          </w:tcPr>
          <w:p w14:paraId="4216253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8.3</w:t>
            </w:r>
          </w:p>
        </w:tc>
        <w:tc>
          <w:tcPr>
            <w:tcW w:w="411" w:type="pct"/>
            <w:shd w:val="clear" w:color="auto" w:fill="auto"/>
            <w:tcMar>
              <w:top w:w="69" w:type="dxa"/>
              <w:left w:w="69" w:type="dxa"/>
              <w:bottom w:w="69" w:type="dxa"/>
              <w:right w:w="69" w:type="dxa"/>
            </w:tcMar>
            <w:vAlign w:val="center"/>
          </w:tcPr>
          <w:p w14:paraId="1BEA4A1B">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7.6</w:t>
            </w:r>
          </w:p>
        </w:tc>
        <w:tc>
          <w:tcPr>
            <w:tcW w:w="411" w:type="pct"/>
            <w:shd w:val="clear" w:color="auto" w:fill="auto"/>
            <w:tcMar>
              <w:top w:w="69" w:type="dxa"/>
              <w:left w:w="69" w:type="dxa"/>
              <w:bottom w:w="69" w:type="dxa"/>
              <w:right w:w="69" w:type="dxa"/>
            </w:tcMar>
            <w:vAlign w:val="center"/>
          </w:tcPr>
          <w:p w14:paraId="6A15F8F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69.7</w:t>
            </w:r>
          </w:p>
        </w:tc>
        <w:tc>
          <w:tcPr>
            <w:tcW w:w="436" w:type="pct"/>
            <w:shd w:val="clear" w:color="auto" w:fill="auto"/>
            <w:tcMar>
              <w:top w:w="69" w:type="dxa"/>
              <w:left w:w="69" w:type="dxa"/>
              <w:bottom w:w="69" w:type="dxa"/>
              <w:right w:w="69" w:type="dxa"/>
            </w:tcMar>
            <w:vAlign w:val="center"/>
          </w:tcPr>
          <w:p w14:paraId="1D863615">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较差</w:t>
            </w:r>
          </w:p>
        </w:tc>
      </w:tr>
      <w:tr w14:paraId="63A05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408" w:type="pct"/>
            <w:shd w:val="clear" w:color="auto" w:fill="auto"/>
            <w:tcMar>
              <w:top w:w="69" w:type="dxa"/>
              <w:left w:w="69" w:type="dxa"/>
              <w:bottom w:w="69" w:type="dxa"/>
              <w:right w:w="69" w:type="dxa"/>
            </w:tcMar>
            <w:vAlign w:val="center"/>
          </w:tcPr>
          <w:p w14:paraId="1D442FD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T6</w:t>
            </w:r>
          </w:p>
        </w:tc>
        <w:tc>
          <w:tcPr>
            <w:tcW w:w="796" w:type="pct"/>
            <w:shd w:val="clear" w:color="auto" w:fill="auto"/>
            <w:tcMar>
              <w:top w:w="69" w:type="dxa"/>
              <w:left w:w="69" w:type="dxa"/>
              <w:bottom w:w="69" w:type="dxa"/>
              <w:right w:w="69" w:type="dxa"/>
            </w:tcMar>
            <w:vAlign w:val="center"/>
          </w:tcPr>
          <w:p w14:paraId="44881A4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全程施肥不停炼苗，其余同 T0</w:t>
            </w:r>
          </w:p>
        </w:tc>
        <w:tc>
          <w:tcPr>
            <w:tcW w:w="411" w:type="pct"/>
            <w:shd w:val="clear" w:color="auto" w:fill="auto"/>
            <w:tcMar>
              <w:top w:w="69" w:type="dxa"/>
              <w:left w:w="69" w:type="dxa"/>
              <w:bottom w:w="69" w:type="dxa"/>
              <w:right w:w="69" w:type="dxa"/>
            </w:tcMar>
            <w:vAlign w:val="center"/>
          </w:tcPr>
          <w:p w14:paraId="1FAB39F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90.5</w:t>
            </w:r>
          </w:p>
        </w:tc>
        <w:tc>
          <w:tcPr>
            <w:tcW w:w="479" w:type="pct"/>
            <w:shd w:val="clear" w:color="auto" w:fill="auto"/>
            <w:tcMar>
              <w:top w:w="69" w:type="dxa"/>
              <w:left w:w="69" w:type="dxa"/>
              <w:bottom w:w="69" w:type="dxa"/>
              <w:right w:w="69" w:type="dxa"/>
            </w:tcMar>
            <w:vAlign w:val="center"/>
          </w:tcPr>
          <w:p w14:paraId="14573E4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34.8</w:t>
            </w:r>
          </w:p>
        </w:tc>
        <w:tc>
          <w:tcPr>
            <w:tcW w:w="479" w:type="pct"/>
            <w:shd w:val="clear" w:color="auto" w:fill="auto"/>
            <w:tcMar>
              <w:top w:w="69" w:type="dxa"/>
              <w:left w:w="69" w:type="dxa"/>
              <w:bottom w:w="69" w:type="dxa"/>
              <w:right w:w="69" w:type="dxa"/>
            </w:tcMar>
            <w:vAlign w:val="center"/>
          </w:tcPr>
          <w:p w14:paraId="5FCB86F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2.8</w:t>
            </w:r>
          </w:p>
        </w:tc>
        <w:tc>
          <w:tcPr>
            <w:tcW w:w="343" w:type="pct"/>
            <w:shd w:val="clear" w:color="auto" w:fill="auto"/>
            <w:tcMar>
              <w:top w:w="69" w:type="dxa"/>
              <w:left w:w="69" w:type="dxa"/>
              <w:bottom w:w="69" w:type="dxa"/>
              <w:right w:w="69" w:type="dxa"/>
            </w:tcMar>
            <w:vAlign w:val="center"/>
          </w:tcPr>
          <w:p w14:paraId="2111E68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10.9</w:t>
            </w:r>
          </w:p>
        </w:tc>
        <w:tc>
          <w:tcPr>
            <w:tcW w:w="411" w:type="pct"/>
            <w:shd w:val="clear" w:color="auto" w:fill="auto"/>
            <w:tcMar>
              <w:top w:w="69" w:type="dxa"/>
              <w:left w:w="69" w:type="dxa"/>
              <w:bottom w:w="69" w:type="dxa"/>
              <w:right w:w="69" w:type="dxa"/>
            </w:tcMar>
            <w:vAlign w:val="center"/>
          </w:tcPr>
          <w:p w14:paraId="17DEFC1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87.2</w:t>
            </w:r>
          </w:p>
        </w:tc>
        <w:tc>
          <w:tcPr>
            <w:tcW w:w="411" w:type="pct"/>
            <w:shd w:val="clear" w:color="auto" w:fill="auto"/>
            <w:tcMar>
              <w:top w:w="69" w:type="dxa"/>
              <w:left w:w="69" w:type="dxa"/>
              <w:bottom w:w="69" w:type="dxa"/>
              <w:right w:w="69" w:type="dxa"/>
            </w:tcMar>
            <w:vAlign w:val="center"/>
          </w:tcPr>
          <w:p w14:paraId="587047A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3.5</w:t>
            </w:r>
          </w:p>
        </w:tc>
        <w:tc>
          <w:tcPr>
            <w:tcW w:w="411" w:type="pct"/>
            <w:shd w:val="clear" w:color="auto" w:fill="auto"/>
            <w:tcMar>
              <w:top w:w="69" w:type="dxa"/>
              <w:left w:w="69" w:type="dxa"/>
              <w:bottom w:w="69" w:type="dxa"/>
              <w:right w:w="69" w:type="dxa"/>
            </w:tcMar>
            <w:vAlign w:val="center"/>
          </w:tcPr>
          <w:p w14:paraId="7651E68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3.1</w:t>
            </w:r>
          </w:p>
        </w:tc>
        <w:tc>
          <w:tcPr>
            <w:tcW w:w="411" w:type="pct"/>
            <w:shd w:val="clear" w:color="auto" w:fill="auto"/>
            <w:tcMar>
              <w:top w:w="69" w:type="dxa"/>
              <w:left w:w="69" w:type="dxa"/>
              <w:bottom w:w="69" w:type="dxa"/>
              <w:right w:w="69" w:type="dxa"/>
            </w:tcMar>
            <w:vAlign w:val="center"/>
          </w:tcPr>
          <w:p w14:paraId="3348BB63">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70.2</w:t>
            </w:r>
          </w:p>
        </w:tc>
        <w:tc>
          <w:tcPr>
            <w:tcW w:w="436" w:type="pct"/>
            <w:shd w:val="clear" w:color="auto" w:fill="auto"/>
            <w:tcMar>
              <w:top w:w="69" w:type="dxa"/>
              <w:left w:w="69" w:type="dxa"/>
              <w:bottom w:w="69" w:type="dxa"/>
              <w:right w:w="69" w:type="dxa"/>
            </w:tcMar>
            <w:vAlign w:val="center"/>
          </w:tcPr>
          <w:p w14:paraId="634D5F2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一般</w:t>
            </w:r>
          </w:p>
        </w:tc>
      </w:tr>
      <w:tr w14:paraId="1A02D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408" w:type="pct"/>
            <w:shd w:val="clear" w:color="auto" w:fill="auto"/>
            <w:tcMar>
              <w:top w:w="69" w:type="dxa"/>
              <w:left w:w="69" w:type="dxa"/>
              <w:bottom w:w="69" w:type="dxa"/>
              <w:right w:w="69" w:type="dxa"/>
            </w:tcMar>
            <w:vAlign w:val="center"/>
          </w:tcPr>
          <w:p w14:paraId="4C42E9CB">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T7</w:t>
            </w:r>
          </w:p>
        </w:tc>
        <w:tc>
          <w:tcPr>
            <w:tcW w:w="796" w:type="pct"/>
            <w:shd w:val="clear" w:color="auto" w:fill="auto"/>
            <w:tcMar>
              <w:top w:w="69" w:type="dxa"/>
              <w:left w:w="69" w:type="dxa"/>
              <w:bottom w:w="69" w:type="dxa"/>
              <w:right w:w="69" w:type="dxa"/>
            </w:tcMar>
            <w:vAlign w:val="center"/>
          </w:tcPr>
          <w:p w14:paraId="54F01454">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仅萌芽期施尿素，后期不施肥</w:t>
            </w:r>
          </w:p>
        </w:tc>
        <w:tc>
          <w:tcPr>
            <w:tcW w:w="411" w:type="pct"/>
            <w:shd w:val="clear" w:color="auto" w:fill="auto"/>
            <w:tcMar>
              <w:top w:w="69" w:type="dxa"/>
              <w:left w:w="69" w:type="dxa"/>
              <w:bottom w:w="69" w:type="dxa"/>
              <w:right w:w="69" w:type="dxa"/>
            </w:tcMar>
            <w:vAlign w:val="center"/>
          </w:tcPr>
          <w:p w14:paraId="3AFD3C22">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72.4</w:t>
            </w:r>
          </w:p>
        </w:tc>
        <w:tc>
          <w:tcPr>
            <w:tcW w:w="479" w:type="pct"/>
            <w:shd w:val="clear" w:color="auto" w:fill="auto"/>
            <w:tcMar>
              <w:top w:w="69" w:type="dxa"/>
              <w:left w:w="69" w:type="dxa"/>
              <w:bottom w:w="69" w:type="dxa"/>
              <w:right w:w="69" w:type="dxa"/>
            </w:tcMar>
            <w:vAlign w:val="center"/>
          </w:tcPr>
          <w:p w14:paraId="0411BA09">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29.5</w:t>
            </w:r>
          </w:p>
        </w:tc>
        <w:tc>
          <w:tcPr>
            <w:tcW w:w="479" w:type="pct"/>
            <w:shd w:val="clear" w:color="auto" w:fill="auto"/>
            <w:tcMar>
              <w:top w:w="69" w:type="dxa"/>
              <w:left w:w="69" w:type="dxa"/>
              <w:bottom w:w="69" w:type="dxa"/>
              <w:right w:w="69" w:type="dxa"/>
            </w:tcMar>
            <w:vAlign w:val="center"/>
          </w:tcPr>
          <w:p w14:paraId="4218DDA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2.1</w:t>
            </w:r>
          </w:p>
        </w:tc>
        <w:tc>
          <w:tcPr>
            <w:tcW w:w="343" w:type="pct"/>
            <w:shd w:val="clear" w:color="auto" w:fill="auto"/>
            <w:tcMar>
              <w:top w:w="69" w:type="dxa"/>
              <w:left w:w="69" w:type="dxa"/>
              <w:bottom w:w="69" w:type="dxa"/>
              <w:right w:w="69" w:type="dxa"/>
            </w:tcMar>
            <w:vAlign w:val="center"/>
          </w:tcPr>
          <w:p w14:paraId="19A722D5">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6.9</w:t>
            </w:r>
          </w:p>
        </w:tc>
        <w:tc>
          <w:tcPr>
            <w:tcW w:w="411" w:type="pct"/>
            <w:shd w:val="clear" w:color="auto" w:fill="auto"/>
            <w:tcMar>
              <w:top w:w="69" w:type="dxa"/>
              <w:left w:w="69" w:type="dxa"/>
              <w:bottom w:w="69" w:type="dxa"/>
              <w:right w:w="69" w:type="dxa"/>
            </w:tcMar>
            <w:vAlign w:val="center"/>
          </w:tcPr>
          <w:p w14:paraId="608C5C0C">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38.9</w:t>
            </w:r>
          </w:p>
        </w:tc>
        <w:tc>
          <w:tcPr>
            <w:tcW w:w="411" w:type="pct"/>
            <w:shd w:val="clear" w:color="auto" w:fill="auto"/>
            <w:tcMar>
              <w:top w:w="69" w:type="dxa"/>
              <w:left w:w="69" w:type="dxa"/>
              <w:bottom w:w="69" w:type="dxa"/>
              <w:right w:w="69" w:type="dxa"/>
            </w:tcMar>
            <w:vAlign w:val="center"/>
          </w:tcPr>
          <w:p w14:paraId="50C54EEF">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5.8</w:t>
            </w:r>
          </w:p>
        </w:tc>
        <w:tc>
          <w:tcPr>
            <w:tcW w:w="411" w:type="pct"/>
            <w:shd w:val="clear" w:color="auto" w:fill="auto"/>
            <w:tcMar>
              <w:top w:w="69" w:type="dxa"/>
              <w:left w:w="69" w:type="dxa"/>
              <w:bottom w:w="69" w:type="dxa"/>
              <w:right w:w="69" w:type="dxa"/>
            </w:tcMar>
            <w:vAlign w:val="center"/>
          </w:tcPr>
          <w:p w14:paraId="1F525690">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13.4</w:t>
            </w:r>
          </w:p>
        </w:tc>
        <w:tc>
          <w:tcPr>
            <w:tcW w:w="411" w:type="pct"/>
            <w:shd w:val="clear" w:color="auto" w:fill="auto"/>
            <w:tcMar>
              <w:top w:w="69" w:type="dxa"/>
              <w:left w:w="69" w:type="dxa"/>
              <w:bottom w:w="69" w:type="dxa"/>
              <w:right w:w="69" w:type="dxa"/>
            </w:tcMar>
            <w:vAlign w:val="center"/>
          </w:tcPr>
          <w:p w14:paraId="019A6A0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62.1</w:t>
            </w:r>
          </w:p>
        </w:tc>
        <w:tc>
          <w:tcPr>
            <w:tcW w:w="436" w:type="pct"/>
            <w:shd w:val="clear" w:color="auto" w:fill="auto"/>
            <w:tcMar>
              <w:top w:w="69" w:type="dxa"/>
              <w:left w:w="69" w:type="dxa"/>
              <w:bottom w:w="69" w:type="dxa"/>
              <w:right w:w="69" w:type="dxa"/>
            </w:tcMar>
            <w:vAlign w:val="center"/>
          </w:tcPr>
          <w:p w14:paraId="0BDC855E">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极差</w:t>
            </w:r>
          </w:p>
        </w:tc>
      </w:tr>
    </w:tbl>
    <w:p w14:paraId="311809AC">
      <w:pPr>
        <w:pStyle w:val="15"/>
        <w:tabs>
          <w:tab w:val="left" w:pos="2426"/>
        </w:tabs>
        <w:spacing w:after="0" w:line="560" w:lineRule="exact"/>
        <w:ind w:left="0" w:firstLine="640" w:firstLineChars="200"/>
        <w:outlineLvl w:val="1"/>
        <w:rPr>
          <w:rFonts w:hint="eastAsia" w:eastAsia="仿宋_GB2312"/>
          <w:color w:val="auto"/>
          <w:lang w:eastAsia="zh-CN"/>
        </w:rPr>
      </w:pPr>
      <w:r>
        <w:rPr>
          <w:rFonts w:hint="eastAsia" w:eastAsia="仿宋_GB2312"/>
          <w:color w:val="auto"/>
          <w:lang w:val="en-US" w:eastAsia="zh-CN"/>
        </w:rPr>
        <w:t>根据成</w:t>
      </w:r>
      <w:r>
        <w:rPr>
          <w:rFonts w:hint="eastAsia" w:eastAsia="仿宋_GB2312"/>
          <w:color w:val="auto"/>
          <w:lang w:eastAsia="zh-CN"/>
        </w:rPr>
        <w:t>活率、壮苗率、移栽成活率</w:t>
      </w:r>
      <w:r>
        <w:rPr>
          <w:rFonts w:hint="eastAsia" w:eastAsia="仿宋_GB2312"/>
          <w:color w:val="auto"/>
          <w:lang w:val="en-US" w:eastAsia="zh-CN"/>
        </w:rPr>
        <w:t>标准中的方法</w:t>
      </w:r>
      <w:r>
        <w:rPr>
          <w:rFonts w:hint="eastAsia" w:eastAsia="仿宋_GB2312"/>
          <w:color w:val="auto"/>
          <w:lang w:eastAsia="zh-CN"/>
        </w:rPr>
        <w:t>均为最高，徒长率、病害率最低，匹配麻竹种苗 “前期促长、中期平衡、后期壮秆炼苗”的生长规律。不施肥（T1）：种苗萌芽慢、长势极弱，壮苗率不足50%；氮肥过量（T2）：种苗快速徒长、茎秆细弱，抗病性大幅下降，移栽成活率暴跌。</w:t>
      </w:r>
    </w:p>
    <w:p w14:paraId="302D5609">
      <w:pPr>
        <w:pStyle w:val="15"/>
        <w:tabs>
          <w:tab w:val="left" w:pos="2426"/>
        </w:tabs>
        <w:spacing w:after="0" w:line="560" w:lineRule="exact"/>
        <w:ind w:left="0" w:firstLine="640" w:firstLineChars="200"/>
        <w:outlineLvl w:val="1"/>
        <w:rPr>
          <w:rFonts w:hint="eastAsia" w:eastAsia="仿宋_GB2312"/>
          <w:color w:val="auto"/>
          <w:lang w:eastAsia="zh-CN"/>
        </w:rPr>
      </w:pPr>
      <w:r>
        <w:rPr>
          <w:rFonts w:hint="eastAsia" w:eastAsia="仿宋_GB2312"/>
          <w:color w:val="auto"/>
          <w:lang w:eastAsia="zh-CN"/>
        </w:rPr>
        <w:t>旺长期必须氮磷钾均衡，不能缺肥/超量：缺肥（T3）：根茎叶生长停滞，种苗瘦弱；过量施肥（T4）：土壤盐渍化、烧根、徒长加重，病害明显上升。</w:t>
      </w:r>
    </w:p>
    <w:p w14:paraId="14111E90">
      <w:pPr>
        <w:pStyle w:val="15"/>
        <w:tabs>
          <w:tab w:val="left" w:pos="2426"/>
        </w:tabs>
        <w:spacing w:after="0" w:line="560" w:lineRule="exact"/>
        <w:ind w:left="0" w:firstLine="640" w:firstLineChars="200"/>
        <w:outlineLvl w:val="1"/>
        <w:rPr>
          <w:rFonts w:hint="eastAsia" w:eastAsia="仿宋_GB2312"/>
          <w:color w:val="auto"/>
          <w:lang w:eastAsia="zh-CN"/>
        </w:rPr>
      </w:pPr>
      <w:r>
        <w:rPr>
          <w:rFonts w:hint="eastAsia" w:eastAsia="仿宋_GB2312"/>
          <w:color w:val="auto"/>
          <w:lang w:eastAsia="zh-CN"/>
        </w:rPr>
        <w:t>后期必须增施磷钾、停肥炼苗：不施磷钾（T5）：根系差、木质化不足，抗逆性弱，移栽易死苗；不停止施肥（T6）：种苗偏嫩、水分含量高，起苗后失水快，移栽成活率显著降低。</w:t>
      </w:r>
    </w:p>
    <w:p w14:paraId="0D008EF7">
      <w:pPr>
        <w:pStyle w:val="15"/>
        <w:tabs>
          <w:tab w:val="left" w:pos="2426"/>
        </w:tabs>
        <w:spacing w:after="0" w:line="560" w:lineRule="exact"/>
        <w:ind w:left="0" w:firstLine="640" w:firstLineChars="200"/>
        <w:outlineLvl w:val="1"/>
        <w:rPr>
          <w:rFonts w:hint="eastAsia" w:eastAsia="仿宋_GB2312"/>
          <w:color w:val="auto"/>
          <w:lang w:eastAsia="zh-CN"/>
        </w:rPr>
      </w:pPr>
      <w:r>
        <w:rPr>
          <w:rFonts w:hint="eastAsia" w:eastAsia="仿宋_GB2312"/>
          <w:color w:val="auto"/>
          <w:lang w:eastAsia="zh-CN"/>
        </w:rPr>
        <w:t>单一尿素不可行：全程只施氮（T7）会导致养分严重失衡，种苗细弱、病害多，无法满足出圃要求。</w:t>
      </w:r>
    </w:p>
    <w:p w14:paraId="51AA0F45">
      <w:pPr>
        <w:pStyle w:val="15"/>
        <w:tabs>
          <w:tab w:val="left" w:pos="2426"/>
        </w:tabs>
        <w:spacing w:after="0" w:line="560" w:lineRule="exact"/>
        <w:ind w:left="0" w:firstLine="640" w:firstLineChars="200"/>
        <w:outlineLvl w:val="1"/>
        <w:rPr>
          <w:rFonts w:hint="eastAsia" w:eastAsia="仿宋_GB2312"/>
          <w:color w:val="auto"/>
          <w:lang w:eastAsia="zh-CN"/>
        </w:rPr>
      </w:pPr>
      <w:r>
        <w:rPr>
          <w:rFonts w:hint="eastAsia" w:eastAsia="仿宋_GB2312"/>
          <w:color w:val="auto"/>
          <w:lang w:eastAsia="zh-CN"/>
        </w:rPr>
        <w:t>遮荫管理</w:t>
      </w:r>
    </w:p>
    <w:p w14:paraId="213E350E">
      <w:pPr>
        <w:pStyle w:val="15"/>
        <w:tabs>
          <w:tab w:val="left" w:pos="2426"/>
        </w:tabs>
        <w:spacing w:after="0" w:line="560" w:lineRule="exact"/>
        <w:ind w:left="0" w:firstLine="640" w:firstLineChars="200"/>
        <w:outlineLvl w:val="1"/>
        <w:rPr>
          <w:rFonts w:hint="eastAsia" w:eastAsia="仿宋_GB2312"/>
          <w:color w:val="auto"/>
          <w:lang w:eastAsia="zh-CN"/>
        </w:rPr>
      </w:pPr>
      <w:r>
        <w:rPr>
          <w:rFonts w:hint="eastAsia" w:eastAsia="仿宋_GB2312"/>
          <w:color w:val="auto"/>
          <w:lang w:eastAsia="zh-CN"/>
        </w:rPr>
        <w:t>南宁春季至初夏光照强、气温高，而扦插 / 埋秆种苗尚未生根或新根弱小，吸水能力极差，强光会导致叶片和插穗快速失水萎蔫、枯死。50%～60% 遮光可显著降低苗床温度、减少水分蒸发，保证插穗不脱水，大幅提高初期成活率。刚萌发的笋芽、嫩芽和新叶组织幼嫩，直射光易造成灼伤、焦叶、生长停滞；适度遮光可提供温和光照环境，保证基本光合作用，又不造成伤害。LY/T 2624-2016《笋用丛生竹培育技术规程》：明确规定丛生竹育苗初期需遮光 50%～70%，成活后逐步撤荫，并要求及时间苗定苗。</w:t>
      </w:r>
    </w:p>
    <w:p w14:paraId="7F0365A0">
      <w:pPr>
        <w:pStyle w:val="15"/>
        <w:tabs>
          <w:tab w:val="left" w:pos="2426"/>
        </w:tabs>
        <w:spacing w:after="0" w:line="560" w:lineRule="exact"/>
        <w:ind w:left="0" w:firstLine="480" w:firstLineChars="200"/>
        <w:outlineLvl w:val="1"/>
        <w:rPr>
          <w:rFonts w:ascii="宋体" w:hAnsi="宋体" w:eastAsia="宋体" w:cs="宋体"/>
          <w:sz w:val="24"/>
          <w:szCs w:val="24"/>
        </w:rPr>
      </w:pPr>
      <w:r>
        <w:rPr>
          <w:rFonts w:ascii="宋体" w:hAnsi="宋体" w:eastAsia="宋体" w:cs="宋体"/>
          <w:sz w:val="24"/>
          <w:szCs w:val="24"/>
        </w:rPr>
        <w:t>不同遮光率对种苗生长影响对比</w:t>
      </w:r>
    </w:p>
    <w:tbl>
      <w:tblPr>
        <w:tblStyle w:val="10"/>
        <w:tblW w:w="525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1108"/>
        <w:gridCol w:w="955"/>
        <w:gridCol w:w="1114"/>
        <w:gridCol w:w="1114"/>
        <w:gridCol w:w="800"/>
        <w:gridCol w:w="955"/>
        <w:gridCol w:w="957"/>
        <w:gridCol w:w="958"/>
        <w:gridCol w:w="1251"/>
      </w:tblGrid>
      <w:tr w14:paraId="07B5E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blHeader/>
        </w:trPr>
        <w:tc>
          <w:tcPr>
            <w:tcW w:w="601" w:type="pct"/>
            <w:shd w:val="clear" w:color="auto" w:fill="auto"/>
            <w:tcMar>
              <w:top w:w="69" w:type="dxa"/>
              <w:left w:w="69" w:type="dxa"/>
              <w:bottom w:w="69" w:type="dxa"/>
              <w:right w:w="69" w:type="dxa"/>
            </w:tcMar>
            <w:vAlign w:val="center"/>
          </w:tcPr>
          <w:p w14:paraId="65DE2CF8">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遮光率处理</w:t>
            </w:r>
          </w:p>
        </w:tc>
        <w:tc>
          <w:tcPr>
            <w:tcW w:w="518" w:type="pct"/>
            <w:shd w:val="clear" w:color="auto" w:fill="auto"/>
            <w:tcMar>
              <w:top w:w="69" w:type="dxa"/>
              <w:left w:w="69" w:type="dxa"/>
              <w:bottom w:w="69" w:type="dxa"/>
              <w:right w:w="69" w:type="dxa"/>
            </w:tcMar>
            <w:vAlign w:val="center"/>
          </w:tcPr>
          <w:p w14:paraId="55FE8EDB">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扦插成活率（%）</w:t>
            </w:r>
          </w:p>
        </w:tc>
        <w:tc>
          <w:tcPr>
            <w:tcW w:w="604" w:type="pct"/>
            <w:shd w:val="clear" w:color="auto" w:fill="auto"/>
            <w:tcMar>
              <w:top w:w="69" w:type="dxa"/>
              <w:left w:w="69" w:type="dxa"/>
              <w:bottom w:w="69" w:type="dxa"/>
              <w:right w:w="69" w:type="dxa"/>
            </w:tcMar>
            <w:vAlign w:val="center"/>
          </w:tcPr>
          <w:p w14:paraId="1A7B520E">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平均苗高（cm）</w:t>
            </w:r>
          </w:p>
        </w:tc>
        <w:tc>
          <w:tcPr>
            <w:tcW w:w="604" w:type="pct"/>
            <w:shd w:val="clear" w:color="auto" w:fill="auto"/>
            <w:tcMar>
              <w:top w:w="69" w:type="dxa"/>
              <w:left w:w="69" w:type="dxa"/>
              <w:bottom w:w="69" w:type="dxa"/>
              <w:right w:w="69" w:type="dxa"/>
            </w:tcMar>
            <w:vAlign w:val="center"/>
          </w:tcPr>
          <w:p w14:paraId="5669B21D">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平均地径（mm）</w:t>
            </w:r>
          </w:p>
        </w:tc>
        <w:tc>
          <w:tcPr>
            <w:tcW w:w="434" w:type="pct"/>
            <w:shd w:val="clear" w:color="auto" w:fill="auto"/>
            <w:tcMar>
              <w:top w:w="69" w:type="dxa"/>
              <w:left w:w="69" w:type="dxa"/>
              <w:bottom w:w="69" w:type="dxa"/>
              <w:right w:w="69" w:type="dxa"/>
            </w:tcMar>
            <w:vAlign w:val="center"/>
          </w:tcPr>
          <w:p w14:paraId="1658FC87">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根系鲜重（g / 株）</w:t>
            </w:r>
          </w:p>
        </w:tc>
        <w:tc>
          <w:tcPr>
            <w:tcW w:w="518" w:type="pct"/>
            <w:shd w:val="clear" w:color="auto" w:fill="auto"/>
            <w:tcMar>
              <w:top w:w="69" w:type="dxa"/>
              <w:left w:w="69" w:type="dxa"/>
              <w:bottom w:w="69" w:type="dxa"/>
              <w:right w:w="69" w:type="dxa"/>
            </w:tcMar>
            <w:vAlign w:val="center"/>
          </w:tcPr>
          <w:p w14:paraId="59E7337A">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壮苗率（%）</w:t>
            </w:r>
          </w:p>
        </w:tc>
        <w:tc>
          <w:tcPr>
            <w:tcW w:w="519" w:type="pct"/>
            <w:shd w:val="clear" w:color="auto" w:fill="auto"/>
            <w:tcMar>
              <w:top w:w="69" w:type="dxa"/>
              <w:left w:w="69" w:type="dxa"/>
              <w:bottom w:w="69" w:type="dxa"/>
              <w:right w:w="69" w:type="dxa"/>
            </w:tcMar>
            <w:vAlign w:val="center"/>
          </w:tcPr>
          <w:p w14:paraId="20B86ABD">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徒长率（%）</w:t>
            </w:r>
          </w:p>
        </w:tc>
        <w:tc>
          <w:tcPr>
            <w:tcW w:w="519" w:type="pct"/>
            <w:shd w:val="clear" w:color="auto" w:fill="auto"/>
            <w:tcMar>
              <w:top w:w="69" w:type="dxa"/>
              <w:left w:w="69" w:type="dxa"/>
              <w:bottom w:w="69" w:type="dxa"/>
              <w:right w:w="69" w:type="dxa"/>
            </w:tcMar>
            <w:vAlign w:val="center"/>
          </w:tcPr>
          <w:p w14:paraId="23D46263">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病害发生率（%）</w:t>
            </w:r>
          </w:p>
        </w:tc>
        <w:tc>
          <w:tcPr>
            <w:tcW w:w="678" w:type="pct"/>
            <w:shd w:val="clear" w:color="auto" w:fill="auto"/>
            <w:tcMar>
              <w:top w:w="69" w:type="dxa"/>
              <w:left w:w="69" w:type="dxa"/>
              <w:bottom w:w="69" w:type="dxa"/>
              <w:right w:w="69" w:type="dxa"/>
            </w:tcMar>
            <w:vAlign w:val="center"/>
          </w:tcPr>
          <w:p w14:paraId="34980474">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生长表现评价</w:t>
            </w:r>
          </w:p>
        </w:tc>
      </w:tr>
      <w:tr w14:paraId="6F820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601" w:type="pct"/>
            <w:shd w:val="clear" w:color="auto" w:fill="auto"/>
            <w:tcMar>
              <w:top w:w="69" w:type="dxa"/>
              <w:left w:w="69" w:type="dxa"/>
              <w:bottom w:w="69" w:type="dxa"/>
              <w:right w:w="69" w:type="dxa"/>
            </w:tcMar>
            <w:vAlign w:val="center"/>
          </w:tcPr>
          <w:p w14:paraId="76332ACB">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全光照（0%）</w:t>
            </w:r>
          </w:p>
        </w:tc>
        <w:tc>
          <w:tcPr>
            <w:tcW w:w="518" w:type="pct"/>
            <w:shd w:val="clear" w:color="auto" w:fill="auto"/>
            <w:tcMar>
              <w:top w:w="69" w:type="dxa"/>
              <w:left w:w="69" w:type="dxa"/>
              <w:bottom w:w="69" w:type="dxa"/>
              <w:right w:w="69" w:type="dxa"/>
            </w:tcMar>
            <w:vAlign w:val="center"/>
          </w:tcPr>
          <w:p w14:paraId="5739618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41.2</w:t>
            </w:r>
          </w:p>
        </w:tc>
        <w:tc>
          <w:tcPr>
            <w:tcW w:w="604" w:type="pct"/>
            <w:shd w:val="clear" w:color="auto" w:fill="auto"/>
            <w:tcMar>
              <w:top w:w="69" w:type="dxa"/>
              <w:left w:w="69" w:type="dxa"/>
              <w:bottom w:w="69" w:type="dxa"/>
              <w:right w:w="69" w:type="dxa"/>
            </w:tcMar>
            <w:vAlign w:val="center"/>
          </w:tcPr>
          <w:p w14:paraId="57BF686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20.5</w:t>
            </w:r>
          </w:p>
        </w:tc>
        <w:tc>
          <w:tcPr>
            <w:tcW w:w="604" w:type="pct"/>
            <w:shd w:val="clear" w:color="auto" w:fill="auto"/>
            <w:tcMar>
              <w:top w:w="69" w:type="dxa"/>
              <w:left w:w="69" w:type="dxa"/>
              <w:bottom w:w="69" w:type="dxa"/>
              <w:right w:w="69" w:type="dxa"/>
            </w:tcMar>
            <w:vAlign w:val="center"/>
          </w:tcPr>
          <w:p w14:paraId="72F6297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1.7</w:t>
            </w:r>
          </w:p>
        </w:tc>
        <w:tc>
          <w:tcPr>
            <w:tcW w:w="434" w:type="pct"/>
            <w:shd w:val="clear" w:color="auto" w:fill="auto"/>
            <w:tcMar>
              <w:top w:w="69" w:type="dxa"/>
              <w:left w:w="69" w:type="dxa"/>
              <w:bottom w:w="69" w:type="dxa"/>
              <w:right w:w="69" w:type="dxa"/>
            </w:tcMar>
            <w:vAlign w:val="center"/>
          </w:tcPr>
          <w:p w14:paraId="5ECDB9A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4.3</w:t>
            </w:r>
          </w:p>
        </w:tc>
        <w:tc>
          <w:tcPr>
            <w:tcW w:w="518" w:type="pct"/>
            <w:shd w:val="clear" w:color="auto" w:fill="auto"/>
            <w:tcMar>
              <w:top w:w="69" w:type="dxa"/>
              <w:left w:w="69" w:type="dxa"/>
              <w:bottom w:w="69" w:type="dxa"/>
              <w:right w:w="69" w:type="dxa"/>
            </w:tcMar>
            <w:vAlign w:val="center"/>
          </w:tcPr>
          <w:p w14:paraId="5509255D">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22.6</w:t>
            </w:r>
          </w:p>
        </w:tc>
        <w:tc>
          <w:tcPr>
            <w:tcW w:w="519" w:type="pct"/>
            <w:shd w:val="clear" w:color="auto" w:fill="auto"/>
            <w:tcMar>
              <w:top w:w="69" w:type="dxa"/>
              <w:left w:w="69" w:type="dxa"/>
              <w:bottom w:w="69" w:type="dxa"/>
              <w:right w:w="69" w:type="dxa"/>
            </w:tcMar>
            <w:vAlign w:val="center"/>
          </w:tcPr>
          <w:p w14:paraId="0F2F924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0.0</w:t>
            </w:r>
          </w:p>
        </w:tc>
        <w:tc>
          <w:tcPr>
            <w:tcW w:w="519" w:type="pct"/>
            <w:shd w:val="clear" w:color="auto" w:fill="auto"/>
            <w:tcMar>
              <w:top w:w="69" w:type="dxa"/>
              <w:left w:w="69" w:type="dxa"/>
              <w:bottom w:w="69" w:type="dxa"/>
              <w:right w:w="69" w:type="dxa"/>
            </w:tcMar>
            <w:vAlign w:val="center"/>
          </w:tcPr>
          <w:p w14:paraId="268EAEF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28.5</w:t>
            </w:r>
          </w:p>
        </w:tc>
        <w:tc>
          <w:tcPr>
            <w:tcW w:w="678" w:type="pct"/>
            <w:shd w:val="clear" w:color="auto" w:fill="auto"/>
            <w:tcMar>
              <w:top w:w="69" w:type="dxa"/>
              <w:left w:w="69" w:type="dxa"/>
              <w:bottom w:w="69" w:type="dxa"/>
              <w:right w:w="69" w:type="dxa"/>
            </w:tcMar>
            <w:vAlign w:val="center"/>
          </w:tcPr>
          <w:p w14:paraId="0D3B80E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灼伤严重，成活率低，长势极差</w:t>
            </w:r>
          </w:p>
        </w:tc>
      </w:tr>
      <w:tr w14:paraId="27333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601" w:type="pct"/>
            <w:shd w:val="clear" w:color="auto" w:fill="auto"/>
            <w:tcMar>
              <w:top w:w="69" w:type="dxa"/>
              <w:left w:w="69" w:type="dxa"/>
              <w:bottom w:w="69" w:type="dxa"/>
              <w:right w:w="69" w:type="dxa"/>
            </w:tcMar>
            <w:vAlign w:val="center"/>
          </w:tcPr>
          <w:p w14:paraId="2A87604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30%</w:t>
            </w:r>
          </w:p>
        </w:tc>
        <w:tc>
          <w:tcPr>
            <w:tcW w:w="518" w:type="pct"/>
            <w:shd w:val="clear" w:color="auto" w:fill="auto"/>
            <w:tcMar>
              <w:top w:w="69" w:type="dxa"/>
              <w:left w:w="69" w:type="dxa"/>
              <w:bottom w:w="69" w:type="dxa"/>
              <w:right w:w="69" w:type="dxa"/>
            </w:tcMar>
            <w:vAlign w:val="center"/>
          </w:tcPr>
          <w:p w14:paraId="3FC237A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68.7</w:t>
            </w:r>
          </w:p>
        </w:tc>
        <w:tc>
          <w:tcPr>
            <w:tcW w:w="604" w:type="pct"/>
            <w:shd w:val="clear" w:color="auto" w:fill="auto"/>
            <w:tcMar>
              <w:top w:w="69" w:type="dxa"/>
              <w:left w:w="69" w:type="dxa"/>
              <w:bottom w:w="69" w:type="dxa"/>
              <w:right w:w="69" w:type="dxa"/>
            </w:tcMar>
            <w:vAlign w:val="center"/>
          </w:tcPr>
          <w:p w14:paraId="421B255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26.3</w:t>
            </w:r>
          </w:p>
        </w:tc>
        <w:tc>
          <w:tcPr>
            <w:tcW w:w="604" w:type="pct"/>
            <w:shd w:val="clear" w:color="auto" w:fill="auto"/>
            <w:tcMar>
              <w:top w:w="69" w:type="dxa"/>
              <w:left w:w="69" w:type="dxa"/>
              <w:bottom w:w="69" w:type="dxa"/>
              <w:right w:w="69" w:type="dxa"/>
            </w:tcMar>
            <w:vAlign w:val="center"/>
          </w:tcPr>
          <w:p w14:paraId="534A67C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2.2</w:t>
            </w:r>
          </w:p>
        </w:tc>
        <w:tc>
          <w:tcPr>
            <w:tcW w:w="434" w:type="pct"/>
            <w:shd w:val="clear" w:color="auto" w:fill="auto"/>
            <w:tcMar>
              <w:top w:w="69" w:type="dxa"/>
              <w:left w:w="69" w:type="dxa"/>
              <w:bottom w:w="69" w:type="dxa"/>
              <w:right w:w="69" w:type="dxa"/>
            </w:tcMar>
            <w:vAlign w:val="center"/>
          </w:tcPr>
          <w:p w14:paraId="0770C239">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6.8</w:t>
            </w:r>
          </w:p>
        </w:tc>
        <w:tc>
          <w:tcPr>
            <w:tcW w:w="518" w:type="pct"/>
            <w:shd w:val="clear" w:color="auto" w:fill="auto"/>
            <w:tcMar>
              <w:top w:w="69" w:type="dxa"/>
              <w:left w:w="69" w:type="dxa"/>
              <w:bottom w:w="69" w:type="dxa"/>
              <w:right w:w="69" w:type="dxa"/>
            </w:tcMar>
            <w:vAlign w:val="center"/>
          </w:tcPr>
          <w:p w14:paraId="3D4B51CD">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51.4</w:t>
            </w:r>
          </w:p>
        </w:tc>
        <w:tc>
          <w:tcPr>
            <w:tcW w:w="519" w:type="pct"/>
            <w:shd w:val="clear" w:color="auto" w:fill="auto"/>
            <w:tcMar>
              <w:top w:w="69" w:type="dxa"/>
              <w:left w:w="69" w:type="dxa"/>
              <w:bottom w:w="69" w:type="dxa"/>
              <w:right w:w="69" w:type="dxa"/>
            </w:tcMar>
            <w:vAlign w:val="center"/>
          </w:tcPr>
          <w:p w14:paraId="25C815D9">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1.2</w:t>
            </w:r>
          </w:p>
        </w:tc>
        <w:tc>
          <w:tcPr>
            <w:tcW w:w="519" w:type="pct"/>
            <w:shd w:val="clear" w:color="auto" w:fill="auto"/>
            <w:tcMar>
              <w:top w:w="69" w:type="dxa"/>
              <w:left w:w="69" w:type="dxa"/>
              <w:bottom w:w="69" w:type="dxa"/>
              <w:right w:w="69" w:type="dxa"/>
            </w:tcMar>
            <w:vAlign w:val="center"/>
          </w:tcPr>
          <w:p w14:paraId="55F6219D">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12.3</w:t>
            </w:r>
          </w:p>
        </w:tc>
        <w:tc>
          <w:tcPr>
            <w:tcW w:w="678" w:type="pct"/>
            <w:shd w:val="clear" w:color="auto" w:fill="auto"/>
            <w:tcMar>
              <w:top w:w="69" w:type="dxa"/>
              <w:left w:w="69" w:type="dxa"/>
              <w:bottom w:w="69" w:type="dxa"/>
              <w:right w:w="69" w:type="dxa"/>
            </w:tcMar>
            <w:vAlign w:val="center"/>
          </w:tcPr>
          <w:p w14:paraId="7712BD36">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光照仍偏强，部分萎蔫，长势较弱</w:t>
            </w:r>
          </w:p>
        </w:tc>
      </w:tr>
      <w:tr w14:paraId="169E5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601" w:type="pct"/>
            <w:shd w:val="clear" w:color="auto" w:fill="auto"/>
            <w:tcMar>
              <w:top w:w="69" w:type="dxa"/>
              <w:left w:w="69" w:type="dxa"/>
              <w:bottom w:w="69" w:type="dxa"/>
              <w:right w:w="69" w:type="dxa"/>
            </w:tcMar>
            <w:vAlign w:val="center"/>
          </w:tcPr>
          <w:p w14:paraId="35DF11A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50%</w:t>
            </w:r>
          </w:p>
        </w:tc>
        <w:tc>
          <w:tcPr>
            <w:tcW w:w="518" w:type="pct"/>
            <w:shd w:val="clear" w:color="auto" w:fill="auto"/>
            <w:tcMar>
              <w:top w:w="69" w:type="dxa"/>
              <w:left w:w="69" w:type="dxa"/>
              <w:bottom w:w="69" w:type="dxa"/>
              <w:right w:w="69" w:type="dxa"/>
            </w:tcMar>
            <w:vAlign w:val="center"/>
          </w:tcPr>
          <w:p w14:paraId="643DB55D">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88.5</w:t>
            </w:r>
          </w:p>
        </w:tc>
        <w:tc>
          <w:tcPr>
            <w:tcW w:w="604" w:type="pct"/>
            <w:shd w:val="clear" w:color="auto" w:fill="auto"/>
            <w:tcMar>
              <w:top w:w="69" w:type="dxa"/>
              <w:left w:w="69" w:type="dxa"/>
              <w:bottom w:w="69" w:type="dxa"/>
              <w:right w:w="69" w:type="dxa"/>
            </w:tcMar>
            <w:vAlign w:val="center"/>
          </w:tcPr>
          <w:p w14:paraId="784B9F1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32.6</w:t>
            </w:r>
          </w:p>
        </w:tc>
        <w:tc>
          <w:tcPr>
            <w:tcW w:w="604" w:type="pct"/>
            <w:shd w:val="clear" w:color="auto" w:fill="auto"/>
            <w:tcMar>
              <w:top w:w="69" w:type="dxa"/>
              <w:left w:w="69" w:type="dxa"/>
              <w:bottom w:w="69" w:type="dxa"/>
              <w:right w:w="69" w:type="dxa"/>
            </w:tcMar>
            <w:vAlign w:val="center"/>
          </w:tcPr>
          <w:p w14:paraId="6832988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2.7</w:t>
            </w:r>
          </w:p>
        </w:tc>
        <w:tc>
          <w:tcPr>
            <w:tcW w:w="434" w:type="pct"/>
            <w:shd w:val="clear" w:color="auto" w:fill="auto"/>
            <w:tcMar>
              <w:top w:w="69" w:type="dxa"/>
              <w:left w:w="69" w:type="dxa"/>
              <w:bottom w:w="69" w:type="dxa"/>
              <w:right w:w="69" w:type="dxa"/>
            </w:tcMar>
            <w:vAlign w:val="center"/>
          </w:tcPr>
          <w:p w14:paraId="5F19910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10.2</w:t>
            </w:r>
          </w:p>
        </w:tc>
        <w:tc>
          <w:tcPr>
            <w:tcW w:w="518" w:type="pct"/>
            <w:shd w:val="clear" w:color="auto" w:fill="auto"/>
            <w:tcMar>
              <w:top w:w="69" w:type="dxa"/>
              <w:left w:w="69" w:type="dxa"/>
              <w:bottom w:w="69" w:type="dxa"/>
              <w:right w:w="69" w:type="dxa"/>
            </w:tcMar>
            <w:vAlign w:val="center"/>
          </w:tcPr>
          <w:p w14:paraId="20F9A6C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87.3</w:t>
            </w:r>
          </w:p>
        </w:tc>
        <w:tc>
          <w:tcPr>
            <w:tcW w:w="519" w:type="pct"/>
            <w:shd w:val="clear" w:color="auto" w:fill="auto"/>
            <w:tcMar>
              <w:top w:w="69" w:type="dxa"/>
              <w:left w:w="69" w:type="dxa"/>
              <w:bottom w:w="69" w:type="dxa"/>
              <w:right w:w="69" w:type="dxa"/>
            </w:tcMar>
            <w:vAlign w:val="center"/>
          </w:tcPr>
          <w:p w14:paraId="50085E9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2.1</w:t>
            </w:r>
          </w:p>
        </w:tc>
        <w:tc>
          <w:tcPr>
            <w:tcW w:w="519" w:type="pct"/>
            <w:shd w:val="clear" w:color="auto" w:fill="auto"/>
            <w:tcMar>
              <w:top w:w="69" w:type="dxa"/>
              <w:left w:w="69" w:type="dxa"/>
              <w:bottom w:w="69" w:type="dxa"/>
              <w:right w:w="69" w:type="dxa"/>
            </w:tcMar>
            <w:vAlign w:val="center"/>
          </w:tcPr>
          <w:p w14:paraId="3CAA73F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3.6</w:t>
            </w:r>
          </w:p>
        </w:tc>
        <w:tc>
          <w:tcPr>
            <w:tcW w:w="678" w:type="pct"/>
            <w:shd w:val="clear" w:color="auto" w:fill="auto"/>
            <w:tcMar>
              <w:top w:w="69" w:type="dxa"/>
              <w:left w:w="69" w:type="dxa"/>
              <w:bottom w:w="69" w:type="dxa"/>
              <w:right w:w="69" w:type="dxa"/>
            </w:tcMar>
            <w:vAlign w:val="center"/>
          </w:tcPr>
          <w:p w14:paraId="46414FAB">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长势健壮，根系发达，无明显徒长</w:t>
            </w:r>
          </w:p>
        </w:tc>
      </w:tr>
      <w:tr w14:paraId="3DFBA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c>
          <w:tcPr>
            <w:tcW w:w="601" w:type="pct"/>
            <w:shd w:val="clear" w:color="auto" w:fill="auto"/>
            <w:tcMar>
              <w:top w:w="69" w:type="dxa"/>
              <w:left w:w="69" w:type="dxa"/>
              <w:bottom w:w="69" w:type="dxa"/>
              <w:right w:w="69" w:type="dxa"/>
            </w:tcMar>
            <w:vAlign w:val="center"/>
          </w:tcPr>
          <w:p w14:paraId="6152CED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60%</w:t>
            </w:r>
          </w:p>
        </w:tc>
        <w:tc>
          <w:tcPr>
            <w:tcW w:w="518" w:type="pct"/>
            <w:shd w:val="clear" w:color="auto" w:fill="auto"/>
            <w:tcMar>
              <w:top w:w="69" w:type="dxa"/>
              <w:left w:w="69" w:type="dxa"/>
              <w:bottom w:w="69" w:type="dxa"/>
              <w:right w:w="69" w:type="dxa"/>
            </w:tcMar>
            <w:vAlign w:val="center"/>
          </w:tcPr>
          <w:p w14:paraId="07D2BD1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90.1</w:t>
            </w:r>
          </w:p>
        </w:tc>
        <w:tc>
          <w:tcPr>
            <w:tcW w:w="604" w:type="pct"/>
            <w:shd w:val="clear" w:color="auto" w:fill="auto"/>
            <w:tcMar>
              <w:top w:w="69" w:type="dxa"/>
              <w:left w:w="69" w:type="dxa"/>
              <w:bottom w:w="69" w:type="dxa"/>
              <w:right w:w="69" w:type="dxa"/>
            </w:tcMar>
            <w:vAlign w:val="center"/>
          </w:tcPr>
          <w:p w14:paraId="06CF6B12">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31.8</w:t>
            </w:r>
          </w:p>
        </w:tc>
        <w:tc>
          <w:tcPr>
            <w:tcW w:w="604" w:type="pct"/>
            <w:shd w:val="clear" w:color="auto" w:fill="auto"/>
            <w:tcMar>
              <w:top w:w="69" w:type="dxa"/>
              <w:left w:w="69" w:type="dxa"/>
              <w:bottom w:w="69" w:type="dxa"/>
              <w:right w:w="69" w:type="dxa"/>
            </w:tcMar>
            <w:vAlign w:val="center"/>
          </w:tcPr>
          <w:p w14:paraId="30158B4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2.8</w:t>
            </w:r>
          </w:p>
        </w:tc>
        <w:tc>
          <w:tcPr>
            <w:tcW w:w="434" w:type="pct"/>
            <w:shd w:val="clear" w:color="auto" w:fill="auto"/>
            <w:tcMar>
              <w:top w:w="69" w:type="dxa"/>
              <w:left w:w="69" w:type="dxa"/>
              <w:bottom w:w="69" w:type="dxa"/>
              <w:right w:w="69" w:type="dxa"/>
            </w:tcMar>
            <w:vAlign w:val="center"/>
          </w:tcPr>
          <w:p w14:paraId="591529B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10.7</w:t>
            </w:r>
          </w:p>
        </w:tc>
        <w:tc>
          <w:tcPr>
            <w:tcW w:w="518" w:type="pct"/>
            <w:shd w:val="clear" w:color="auto" w:fill="auto"/>
            <w:tcMar>
              <w:top w:w="69" w:type="dxa"/>
              <w:left w:w="69" w:type="dxa"/>
              <w:bottom w:w="69" w:type="dxa"/>
              <w:right w:w="69" w:type="dxa"/>
            </w:tcMar>
            <w:vAlign w:val="center"/>
          </w:tcPr>
          <w:p w14:paraId="1326683E">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89.2</w:t>
            </w:r>
          </w:p>
        </w:tc>
        <w:tc>
          <w:tcPr>
            <w:tcW w:w="519" w:type="pct"/>
            <w:shd w:val="clear" w:color="auto" w:fill="auto"/>
            <w:tcMar>
              <w:top w:w="69" w:type="dxa"/>
              <w:left w:w="69" w:type="dxa"/>
              <w:bottom w:w="69" w:type="dxa"/>
              <w:right w:w="69" w:type="dxa"/>
            </w:tcMar>
            <w:vAlign w:val="center"/>
          </w:tcPr>
          <w:p w14:paraId="358F8EE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2.5</w:t>
            </w:r>
          </w:p>
        </w:tc>
        <w:tc>
          <w:tcPr>
            <w:tcW w:w="519" w:type="pct"/>
            <w:shd w:val="clear" w:color="auto" w:fill="auto"/>
            <w:tcMar>
              <w:top w:w="69" w:type="dxa"/>
              <w:left w:w="69" w:type="dxa"/>
              <w:bottom w:w="69" w:type="dxa"/>
              <w:right w:w="69" w:type="dxa"/>
            </w:tcMar>
            <w:vAlign w:val="center"/>
          </w:tcPr>
          <w:p w14:paraId="629B7F59">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3.1</w:t>
            </w:r>
          </w:p>
        </w:tc>
        <w:tc>
          <w:tcPr>
            <w:tcW w:w="678" w:type="pct"/>
            <w:shd w:val="clear" w:color="auto" w:fill="auto"/>
            <w:tcMar>
              <w:top w:w="69" w:type="dxa"/>
              <w:left w:w="69" w:type="dxa"/>
              <w:bottom w:w="69" w:type="dxa"/>
              <w:right w:w="69" w:type="dxa"/>
            </w:tcMar>
            <w:vAlign w:val="center"/>
          </w:tcPr>
          <w:p w14:paraId="0AF7BBB8">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成活率最高，壮苗率高，综合表现最优</w:t>
            </w:r>
          </w:p>
        </w:tc>
      </w:tr>
      <w:tr w14:paraId="07B36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601" w:type="pct"/>
            <w:shd w:val="clear" w:color="auto" w:fill="auto"/>
            <w:tcMar>
              <w:top w:w="69" w:type="dxa"/>
              <w:left w:w="69" w:type="dxa"/>
              <w:bottom w:w="69" w:type="dxa"/>
              <w:right w:w="69" w:type="dxa"/>
            </w:tcMar>
            <w:vAlign w:val="center"/>
          </w:tcPr>
          <w:p w14:paraId="7361C234">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70%</w:t>
            </w:r>
          </w:p>
        </w:tc>
        <w:tc>
          <w:tcPr>
            <w:tcW w:w="518" w:type="pct"/>
            <w:shd w:val="clear" w:color="auto" w:fill="auto"/>
            <w:tcMar>
              <w:top w:w="69" w:type="dxa"/>
              <w:left w:w="69" w:type="dxa"/>
              <w:bottom w:w="69" w:type="dxa"/>
              <w:right w:w="69" w:type="dxa"/>
            </w:tcMar>
            <w:vAlign w:val="center"/>
          </w:tcPr>
          <w:p w14:paraId="49C052F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85.3</w:t>
            </w:r>
          </w:p>
        </w:tc>
        <w:tc>
          <w:tcPr>
            <w:tcW w:w="604" w:type="pct"/>
            <w:shd w:val="clear" w:color="auto" w:fill="auto"/>
            <w:tcMar>
              <w:top w:w="69" w:type="dxa"/>
              <w:left w:w="69" w:type="dxa"/>
              <w:bottom w:w="69" w:type="dxa"/>
              <w:right w:w="69" w:type="dxa"/>
            </w:tcMar>
            <w:vAlign w:val="center"/>
          </w:tcPr>
          <w:p w14:paraId="29AD710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35.7</w:t>
            </w:r>
          </w:p>
        </w:tc>
        <w:tc>
          <w:tcPr>
            <w:tcW w:w="604" w:type="pct"/>
            <w:shd w:val="clear" w:color="auto" w:fill="auto"/>
            <w:tcMar>
              <w:top w:w="69" w:type="dxa"/>
              <w:left w:w="69" w:type="dxa"/>
              <w:bottom w:w="69" w:type="dxa"/>
              <w:right w:w="69" w:type="dxa"/>
            </w:tcMar>
            <w:vAlign w:val="center"/>
          </w:tcPr>
          <w:p w14:paraId="3602BA5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2.3</w:t>
            </w:r>
          </w:p>
        </w:tc>
        <w:tc>
          <w:tcPr>
            <w:tcW w:w="434" w:type="pct"/>
            <w:shd w:val="clear" w:color="auto" w:fill="auto"/>
            <w:tcMar>
              <w:top w:w="69" w:type="dxa"/>
              <w:left w:w="69" w:type="dxa"/>
              <w:bottom w:w="69" w:type="dxa"/>
              <w:right w:w="69" w:type="dxa"/>
            </w:tcMar>
            <w:vAlign w:val="center"/>
          </w:tcPr>
          <w:p w14:paraId="5EF1A009">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7.9</w:t>
            </w:r>
          </w:p>
        </w:tc>
        <w:tc>
          <w:tcPr>
            <w:tcW w:w="518" w:type="pct"/>
            <w:shd w:val="clear" w:color="auto" w:fill="auto"/>
            <w:tcMar>
              <w:top w:w="69" w:type="dxa"/>
              <w:left w:w="69" w:type="dxa"/>
              <w:bottom w:w="69" w:type="dxa"/>
              <w:right w:w="69" w:type="dxa"/>
            </w:tcMar>
            <w:vAlign w:val="center"/>
          </w:tcPr>
          <w:p w14:paraId="0863976E">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62.8</w:t>
            </w:r>
          </w:p>
        </w:tc>
        <w:tc>
          <w:tcPr>
            <w:tcW w:w="519" w:type="pct"/>
            <w:shd w:val="clear" w:color="auto" w:fill="auto"/>
            <w:tcMar>
              <w:top w:w="69" w:type="dxa"/>
              <w:left w:w="69" w:type="dxa"/>
              <w:bottom w:w="69" w:type="dxa"/>
              <w:right w:w="69" w:type="dxa"/>
            </w:tcMar>
            <w:vAlign w:val="center"/>
          </w:tcPr>
          <w:p w14:paraId="4CC58FD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18.4</w:t>
            </w:r>
          </w:p>
        </w:tc>
        <w:tc>
          <w:tcPr>
            <w:tcW w:w="519" w:type="pct"/>
            <w:shd w:val="clear" w:color="auto" w:fill="auto"/>
            <w:tcMar>
              <w:top w:w="69" w:type="dxa"/>
              <w:left w:w="69" w:type="dxa"/>
              <w:bottom w:w="69" w:type="dxa"/>
              <w:right w:w="69" w:type="dxa"/>
            </w:tcMar>
            <w:vAlign w:val="center"/>
          </w:tcPr>
          <w:p w14:paraId="0BE1025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6.8</w:t>
            </w:r>
          </w:p>
        </w:tc>
        <w:tc>
          <w:tcPr>
            <w:tcW w:w="678" w:type="pct"/>
            <w:shd w:val="clear" w:color="auto" w:fill="auto"/>
            <w:tcMar>
              <w:top w:w="69" w:type="dxa"/>
              <w:left w:w="69" w:type="dxa"/>
              <w:bottom w:w="69" w:type="dxa"/>
              <w:right w:w="69" w:type="dxa"/>
            </w:tcMar>
            <w:vAlign w:val="center"/>
          </w:tcPr>
          <w:p w14:paraId="6DD26E65">
            <w:pPr>
              <w:keepNext w:val="0"/>
              <w:keepLines w:val="0"/>
              <w:widowControl/>
              <w:suppressLineNumbers w:val="0"/>
              <w:spacing w:before="0" w:beforeAutospacing="0" w:after="0" w:afterAutospacing="0"/>
              <w:ind w:left="0" w:right="0"/>
              <w:jc w:val="left"/>
              <w:rPr>
                <w:rFonts w:hint="default"/>
                <w:caps w:val="0"/>
                <w:spacing w:val="0"/>
                <w:lang w:val="en-US"/>
              </w:rPr>
            </w:pPr>
            <w:r>
              <w:rPr>
                <w:rFonts w:hint="default" w:ascii="宋体" w:hAnsi="宋体" w:eastAsia="宋体" w:cs="宋体"/>
                <w:caps w:val="0"/>
                <w:spacing w:val="0"/>
                <w:kern w:val="0"/>
                <w:sz w:val="24"/>
                <w:szCs w:val="24"/>
                <w:lang w:val="en-US" w:eastAsia="zh-CN" w:bidi="ar"/>
              </w:rPr>
              <w:t>植株徒长，茎秆</w:t>
            </w:r>
            <w:r>
              <w:rPr>
                <w:rFonts w:hint="eastAsia" w:ascii="宋体" w:hAnsi="宋体" w:eastAsia="宋体" w:cs="宋体"/>
                <w:caps w:val="0"/>
                <w:spacing w:val="0"/>
                <w:kern w:val="0"/>
                <w:sz w:val="24"/>
                <w:szCs w:val="24"/>
                <w:lang w:val="en-US" w:eastAsia="zh-CN" w:bidi="ar"/>
              </w:rPr>
              <w:t>较</w:t>
            </w:r>
            <w:r>
              <w:rPr>
                <w:rFonts w:hint="default" w:ascii="宋体" w:hAnsi="宋体" w:eastAsia="宋体" w:cs="宋体"/>
                <w:caps w:val="0"/>
                <w:spacing w:val="0"/>
                <w:kern w:val="0"/>
                <w:sz w:val="24"/>
                <w:szCs w:val="24"/>
                <w:lang w:val="en-US" w:eastAsia="zh-CN" w:bidi="ar"/>
              </w:rPr>
              <w:t>弱，根系发育</w:t>
            </w:r>
            <w:r>
              <w:rPr>
                <w:rFonts w:hint="eastAsia" w:ascii="宋体" w:hAnsi="宋体" w:eastAsia="宋体" w:cs="宋体"/>
                <w:caps w:val="0"/>
                <w:spacing w:val="0"/>
                <w:kern w:val="0"/>
                <w:sz w:val="24"/>
                <w:szCs w:val="24"/>
                <w:lang w:val="en-US" w:eastAsia="zh-CN" w:bidi="ar"/>
              </w:rPr>
              <w:t>稍差</w:t>
            </w:r>
          </w:p>
        </w:tc>
      </w:tr>
      <w:tr w14:paraId="41170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601" w:type="pct"/>
            <w:shd w:val="clear" w:color="auto" w:fill="auto"/>
            <w:tcMar>
              <w:top w:w="69" w:type="dxa"/>
              <w:left w:w="69" w:type="dxa"/>
              <w:bottom w:w="69" w:type="dxa"/>
              <w:right w:w="69" w:type="dxa"/>
            </w:tcMar>
            <w:vAlign w:val="center"/>
          </w:tcPr>
          <w:p w14:paraId="05234ED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90%</w:t>
            </w:r>
          </w:p>
        </w:tc>
        <w:tc>
          <w:tcPr>
            <w:tcW w:w="518" w:type="pct"/>
            <w:shd w:val="clear" w:color="auto" w:fill="auto"/>
            <w:tcMar>
              <w:top w:w="69" w:type="dxa"/>
              <w:left w:w="69" w:type="dxa"/>
              <w:bottom w:w="69" w:type="dxa"/>
              <w:right w:w="69" w:type="dxa"/>
            </w:tcMar>
            <w:vAlign w:val="center"/>
          </w:tcPr>
          <w:p w14:paraId="14258A4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76.6</w:t>
            </w:r>
          </w:p>
        </w:tc>
        <w:tc>
          <w:tcPr>
            <w:tcW w:w="604" w:type="pct"/>
            <w:shd w:val="clear" w:color="auto" w:fill="auto"/>
            <w:tcMar>
              <w:top w:w="69" w:type="dxa"/>
              <w:left w:w="69" w:type="dxa"/>
              <w:bottom w:w="69" w:type="dxa"/>
              <w:right w:w="69" w:type="dxa"/>
            </w:tcMar>
            <w:vAlign w:val="center"/>
          </w:tcPr>
          <w:p w14:paraId="72C5BF4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38.2</w:t>
            </w:r>
          </w:p>
        </w:tc>
        <w:tc>
          <w:tcPr>
            <w:tcW w:w="604" w:type="pct"/>
            <w:shd w:val="clear" w:color="auto" w:fill="auto"/>
            <w:tcMar>
              <w:top w:w="69" w:type="dxa"/>
              <w:left w:w="69" w:type="dxa"/>
              <w:bottom w:w="69" w:type="dxa"/>
              <w:right w:w="69" w:type="dxa"/>
            </w:tcMar>
            <w:vAlign w:val="center"/>
          </w:tcPr>
          <w:p w14:paraId="2DA2FC0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2.0</w:t>
            </w:r>
          </w:p>
        </w:tc>
        <w:tc>
          <w:tcPr>
            <w:tcW w:w="434" w:type="pct"/>
            <w:shd w:val="clear" w:color="auto" w:fill="auto"/>
            <w:tcMar>
              <w:top w:w="69" w:type="dxa"/>
              <w:left w:w="69" w:type="dxa"/>
              <w:bottom w:w="69" w:type="dxa"/>
              <w:right w:w="69" w:type="dxa"/>
            </w:tcMar>
            <w:vAlign w:val="center"/>
          </w:tcPr>
          <w:p w14:paraId="6967E6CA">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5.4</w:t>
            </w:r>
          </w:p>
        </w:tc>
        <w:tc>
          <w:tcPr>
            <w:tcW w:w="518" w:type="pct"/>
            <w:shd w:val="clear" w:color="auto" w:fill="auto"/>
            <w:tcMar>
              <w:top w:w="69" w:type="dxa"/>
              <w:left w:w="69" w:type="dxa"/>
              <w:bottom w:w="69" w:type="dxa"/>
              <w:right w:w="69" w:type="dxa"/>
            </w:tcMar>
            <w:vAlign w:val="center"/>
          </w:tcPr>
          <w:p w14:paraId="09EC9884">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33.5</w:t>
            </w:r>
          </w:p>
        </w:tc>
        <w:tc>
          <w:tcPr>
            <w:tcW w:w="519" w:type="pct"/>
            <w:shd w:val="clear" w:color="auto" w:fill="auto"/>
            <w:tcMar>
              <w:top w:w="69" w:type="dxa"/>
              <w:left w:w="69" w:type="dxa"/>
              <w:bottom w:w="69" w:type="dxa"/>
              <w:right w:w="69" w:type="dxa"/>
            </w:tcMar>
            <w:vAlign w:val="center"/>
          </w:tcPr>
          <w:p w14:paraId="2273F39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42.7</w:t>
            </w:r>
          </w:p>
        </w:tc>
        <w:tc>
          <w:tcPr>
            <w:tcW w:w="519" w:type="pct"/>
            <w:shd w:val="clear" w:color="auto" w:fill="auto"/>
            <w:tcMar>
              <w:top w:w="69" w:type="dxa"/>
              <w:left w:w="69" w:type="dxa"/>
              <w:bottom w:w="69" w:type="dxa"/>
              <w:right w:w="69" w:type="dxa"/>
            </w:tcMar>
            <w:vAlign w:val="center"/>
          </w:tcPr>
          <w:p w14:paraId="2586C6A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11.2</w:t>
            </w:r>
          </w:p>
        </w:tc>
        <w:tc>
          <w:tcPr>
            <w:tcW w:w="678" w:type="pct"/>
            <w:shd w:val="clear" w:color="auto" w:fill="auto"/>
            <w:tcMar>
              <w:top w:w="69" w:type="dxa"/>
              <w:left w:w="69" w:type="dxa"/>
              <w:bottom w:w="69" w:type="dxa"/>
              <w:right w:w="69" w:type="dxa"/>
            </w:tcMar>
            <w:vAlign w:val="center"/>
          </w:tcPr>
          <w:p w14:paraId="5908B86A">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严重徒长黄化，抗病性差，难以出圃</w:t>
            </w:r>
          </w:p>
        </w:tc>
      </w:tr>
    </w:tbl>
    <w:p w14:paraId="7A427092">
      <w:pPr>
        <w:pStyle w:val="15"/>
        <w:tabs>
          <w:tab w:val="left" w:pos="2426"/>
        </w:tabs>
        <w:spacing w:after="0" w:line="560" w:lineRule="exact"/>
        <w:ind w:left="0" w:firstLine="480" w:firstLineChars="200"/>
        <w:outlineLvl w:val="1"/>
        <w:rPr>
          <w:rFonts w:hint="eastAsia" w:ascii="宋体" w:hAnsi="宋体" w:eastAsia="宋体" w:cs="宋体"/>
          <w:sz w:val="24"/>
          <w:szCs w:val="24"/>
          <w:lang w:eastAsia="zh-CN"/>
        </w:rPr>
      </w:pPr>
      <w:r>
        <w:rPr>
          <w:rFonts w:hint="eastAsia" w:ascii="宋体" w:hAnsi="宋体" w:eastAsia="宋体" w:cs="宋体"/>
          <w:sz w:val="24"/>
          <w:szCs w:val="24"/>
          <w:lang w:eastAsia="zh-CN"/>
        </w:rPr>
        <w:t>遮光＜50%，光照过强，温度高、失水快，成活率大幅下降，灼伤严重，病害高发。遮光 50%～60%成活率最高（88%～90%），壮苗率最高（87%～89%），徒长和病害最少，为南宁地区最佳区间。遮光＞70%，光照不足，种苗严重徒长、茎细根弱，虽然成活率尚可，但壮苗率暴跌，无法用于出圃造林。</w:t>
      </w:r>
    </w:p>
    <w:p w14:paraId="41CF886A">
      <w:pPr>
        <w:spacing w:line="560" w:lineRule="exact"/>
        <w:ind w:firstLine="640" w:firstLineChars="200"/>
        <w:outlineLvl w:val="1"/>
        <w:rPr>
          <w:rFonts w:hint="eastAsia" w:eastAsia="仿宋_GB2312"/>
          <w:b w:val="0"/>
          <w:bCs w:val="0"/>
          <w:color w:val="auto"/>
          <w:sz w:val="32"/>
          <w:szCs w:val="32"/>
          <w:lang w:val="en-US" w:eastAsia="zh-CN"/>
        </w:rPr>
      </w:pPr>
      <w:r>
        <w:rPr>
          <w:rFonts w:hint="eastAsia" w:eastAsia="仿宋_GB2312"/>
          <w:b w:val="0"/>
          <w:bCs w:val="0"/>
          <w:color w:val="auto"/>
          <w:sz w:val="32"/>
          <w:szCs w:val="32"/>
          <w:lang w:val="en-US" w:eastAsia="zh-CN"/>
        </w:rPr>
        <w:t>有害生物防控</w:t>
      </w:r>
    </w:p>
    <w:p w14:paraId="75033CB4">
      <w:pPr>
        <w:spacing w:line="560" w:lineRule="exact"/>
        <w:ind w:firstLine="640" w:firstLineChars="200"/>
        <w:outlineLvl w:val="1"/>
        <w:rPr>
          <w:rFonts w:hint="eastAsia" w:eastAsia="仿宋_GB2312"/>
          <w:color w:val="auto"/>
          <w:sz w:val="32"/>
          <w:szCs w:val="32"/>
        </w:rPr>
      </w:pPr>
      <w:r>
        <w:rPr>
          <w:rFonts w:hint="eastAsia" w:eastAsia="仿宋_GB2312"/>
          <w:color w:val="auto"/>
          <w:sz w:val="32"/>
          <w:szCs w:val="32"/>
        </w:rPr>
        <w:t>南宁多雨高湿，苗床持续湿润，茎腐病、根腐病等真菌病害极易爆发流行；同时地下害虫（蛴螬、蝼蛄、小地老虎）啃食插穗基部与新根，直接造成死苗、缺苗。多菌灵为广谱、低毒、内吸性杀菌剂，对竹苗苗期真菌防效稳定；搭配杀虫剂可同步防控地下害虫，一药多效、减少施药次数，降低对幼苗的药害风险。</w:t>
      </w:r>
    </w:p>
    <w:p w14:paraId="26A46195">
      <w:pPr>
        <w:ind w:firstLine="640" w:firstLineChars="200"/>
        <w:rPr>
          <w:rFonts w:hint="eastAsia" w:eastAsia="仿宋_GB2312"/>
          <w:color w:val="auto"/>
          <w:vertAlign w:val="baseline"/>
          <w:lang w:eastAsia="zh-CN"/>
        </w:rPr>
      </w:pPr>
      <w:r>
        <w:rPr>
          <w:rFonts w:hint="eastAsia" w:eastAsia="仿宋_GB2312"/>
          <w:color w:val="auto"/>
          <w:sz w:val="32"/>
          <w:szCs w:val="32"/>
        </w:rPr>
        <w:t>竹蚜虫群集吸食嫩梢、嫩叶汁液，导致种苗黄化、萎蔫、生长停滞，还会诱发煤污病并传播病毒，南宁苗圃杂草丛生，极易滋生蚜虫。吡虫啉为内吸性低毒杀虫剂，对刺吸式口器害虫特效，2000 倍浓度安全不伤嫩苗；7～10 d间隔匹配蚜虫世代发育周期，连喷 2～3 次可彻底杀灭成虫与若虫。竹螟幼虫蛀食嫩茎、嫩梢，造成枯梢、断苗，严重影响成苗率；吡虫啉对鳞翅目幼虫防效良好，稀释倍数与苗期安全性匹配，适合苗圃统一防治。竹锈病在南宁高湿环境下高发，主要危害叶片，导致叶枯、落叶，削弱光合能力；发病初期用药是控制锈病扩散的关键。三唑酮为锈病专用治疗剂，内吸性强、防效持久；10 d～15 d间隔可持续抑制病菌孢子萌发，连续用药可彻底控制病情。</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24"/>
        <w:gridCol w:w="4424"/>
      </w:tblGrid>
      <w:tr w14:paraId="5C36B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4" w:type="dxa"/>
          </w:tcPr>
          <w:p w14:paraId="211AD0C6">
            <w:pPr>
              <w:pStyle w:val="15"/>
              <w:keepNext w:val="0"/>
              <w:keepLines w:val="0"/>
              <w:suppressLineNumbers w:val="0"/>
              <w:tabs>
                <w:tab w:val="left" w:pos="2426"/>
              </w:tabs>
              <w:spacing w:before="0" w:beforeAutospacing="0" w:after="0" w:afterAutospacing="0" w:line="560" w:lineRule="exact"/>
              <w:ind w:left="0" w:right="0"/>
              <w:outlineLvl w:val="1"/>
              <w:rPr>
                <w:rFonts w:hint="eastAsia" w:eastAsia="仿宋_GB2312"/>
                <w:color w:val="auto"/>
                <w:vertAlign w:val="baseline"/>
                <w:lang w:eastAsia="zh-CN"/>
              </w:rPr>
            </w:pPr>
            <w:r>
              <w:rPr>
                <w:rFonts w:hint="eastAsia" w:eastAsia="仿宋_GB2312"/>
                <w:color w:val="auto"/>
                <w:vertAlign w:val="baseline"/>
                <w:lang w:val="en-US" w:eastAsia="zh-CN"/>
              </w:rPr>
              <w:drawing>
                <wp:anchor distT="0" distB="0" distL="114300" distR="114300" simplePos="0" relativeHeight="251678720" behindDoc="0" locked="0" layoutInCell="1" allowOverlap="1">
                  <wp:simplePos x="0" y="0"/>
                  <wp:positionH relativeFrom="column">
                    <wp:posOffset>121920</wp:posOffset>
                  </wp:positionH>
                  <wp:positionV relativeFrom="paragraph">
                    <wp:posOffset>38735</wp:posOffset>
                  </wp:positionV>
                  <wp:extent cx="2422525" cy="2023745"/>
                  <wp:effectExtent l="0" t="0" r="15875" b="14605"/>
                  <wp:wrapTopAndBottom/>
                  <wp:docPr id="32" name="图片 32" descr="IMG_20250325_17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MG_20250325_170435"/>
                          <pic:cNvPicPr>
                            <a:picLocks noChangeAspect="1"/>
                          </pic:cNvPicPr>
                        </pic:nvPicPr>
                        <pic:blipFill>
                          <a:blip r:embed="rId27"/>
                          <a:srcRect b="37344"/>
                          <a:stretch>
                            <a:fillRect/>
                          </a:stretch>
                        </pic:blipFill>
                        <pic:spPr>
                          <a:xfrm>
                            <a:off x="0" y="0"/>
                            <a:ext cx="2422525" cy="2023745"/>
                          </a:xfrm>
                          <a:prstGeom prst="rect">
                            <a:avLst/>
                          </a:prstGeom>
                        </pic:spPr>
                      </pic:pic>
                    </a:graphicData>
                  </a:graphic>
                </wp:anchor>
              </w:drawing>
            </w:r>
          </w:p>
        </w:tc>
        <w:tc>
          <w:tcPr>
            <w:tcW w:w="4424" w:type="dxa"/>
          </w:tcPr>
          <w:p w14:paraId="67A79960">
            <w:pPr>
              <w:pStyle w:val="15"/>
              <w:keepNext w:val="0"/>
              <w:keepLines w:val="0"/>
              <w:suppressLineNumbers w:val="0"/>
              <w:tabs>
                <w:tab w:val="left" w:pos="2426"/>
              </w:tabs>
              <w:spacing w:before="0" w:beforeAutospacing="0" w:after="0" w:afterAutospacing="0" w:line="560" w:lineRule="exact"/>
              <w:ind w:left="0" w:right="0"/>
              <w:outlineLvl w:val="1"/>
              <w:rPr>
                <w:rFonts w:hint="eastAsia" w:eastAsia="仿宋_GB2312"/>
                <w:color w:val="auto"/>
                <w:vertAlign w:val="baseline"/>
                <w:lang w:eastAsia="zh-CN"/>
              </w:rPr>
            </w:pPr>
            <w:r>
              <w:rPr>
                <w:rFonts w:hint="eastAsia" w:eastAsia="仿宋_GB2312"/>
                <w:color w:val="auto"/>
                <w:vertAlign w:val="baseline"/>
                <w:lang w:eastAsia="zh-CN"/>
              </w:rPr>
              <w:drawing>
                <wp:anchor distT="0" distB="0" distL="114300" distR="114300" simplePos="0" relativeHeight="251679744" behindDoc="0" locked="0" layoutInCell="1" allowOverlap="1">
                  <wp:simplePos x="0" y="0"/>
                  <wp:positionH relativeFrom="column">
                    <wp:posOffset>0</wp:posOffset>
                  </wp:positionH>
                  <wp:positionV relativeFrom="paragraph">
                    <wp:posOffset>57150</wp:posOffset>
                  </wp:positionV>
                  <wp:extent cx="2641600" cy="1981200"/>
                  <wp:effectExtent l="0" t="0" r="6350" b="0"/>
                  <wp:wrapSquare wrapText="bothSides"/>
                  <wp:docPr id="33" name="图片 33" descr="IMG_20250908_14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IMG_20250908_143048"/>
                          <pic:cNvPicPr>
                            <a:picLocks noChangeAspect="1"/>
                          </pic:cNvPicPr>
                        </pic:nvPicPr>
                        <pic:blipFill>
                          <a:blip r:embed="rId28"/>
                          <a:stretch>
                            <a:fillRect/>
                          </a:stretch>
                        </pic:blipFill>
                        <pic:spPr>
                          <a:xfrm>
                            <a:off x="0" y="0"/>
                            <a:ext cx="2641600" cy="1981200"/>
                          </a:xfrm>
                          <a:prstGeom prst="rect">
                            <a:avLst/>
                          </a:prstGeom>
                        </pic:spPr>
                      </pic:pic>
                    </a:graphicData>
                  </a:graphic>
                </wp:anchor>
              </w:drawing>
            </w:r>
          </w:p>
        </w:tc>
      </w:tr>
      <w:tr w14:paraId="77C7E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48" w:type="dxa"/>
            <w:gridSpan w:val="2"/>
          </w:tcPr>
          <w:p w14:paraId="1221DB84">
            <w:pPr>
              <w:pStyle w:val="15"/>
              <w:keepNext w:val="0"/>
              <w:keepLines w:val="0"/>
              <w:suppressLineNumbers w:val="0"/>
              <w:tabs>
                <w:tab w:val="left" w:pos="2426"/>
              </w:tabs>
              <w:spacing w:before="0" w:beforeAutospacing="0" w:after="0" w:afterAutospacing="0" w:line="560" w:lineRule="exact"/>
              <w:ind w:left="0" w:right="0"/>
              <w:outlineLvl w:val="1"/>
              <w:rPr>
                <w:rFonts w:hint="default" w:eastAsia="仿宋_GB2312"/>
                <w:color w:val="auto"/>
                <w:vertAlign w:val="baseline"/>
                <w:lang w:val="en-US" w:eastAsia="zh-CN"/>
              </w:rPr>
            </w:pPr>
            <w:r>
              <w:rPr>
                <w:rFonts w:hint="default" w:eastAsia="仿宋_GB2312"/>
                <w:color w:val="auto"/>
                <w:vertAlign w:val="baseline"/>
                <w:lang w:val="en-US" w:eastAsia="zh-CN"/>
              </w:rPr>
              <w:drawing>
                <wp:anchor distT="0" distB="0" distL="114300" distR="114300" simplePos="0" relativeHeight="251680768" behindDoc="0" locked="0" layoutInCell="1" allowOverlap="1">
                  <wp:simplePos x="0" y="0"/>
                  <wp:positionH relativeFrom="column">
                    <wp:posOffset>3735705</wp:posOffset>
                  </wp:positionH>
                  <wp:positionV relativeFrom="paragraph">
                    <wp:posOffset>131445</wp:posOffset>
                  </wp:positionV>
                  <wp:extent cx="1579880" cy="2107565"/>
                  <wp:effectExtent l="0" t="0" r="1270" b="6985"/>
                  <wp:wrapTopAndBottom/>
                  <wp:docPr id="34" name="图片 34" descr="IMG_20251219_10010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IMG_20251219_100109_1"/>
                          <pic:cNvPicPr>
                            <a:picLocks noChangeAspect="1"/>
                          </pic:cNvPicPr>
                        </pic:nvPicPr>
                        <pic:blipFill>
                          <a:blip r:embed="rId29"/>
                          <a:stretch>
                            <a:fillRect/>
                          </a:stretch>
                        </pic:blipFill>
                        <pic:spPr>
                          <a:xfrm>
                            <a:off x="0" y="0"/>
                            <a:ext cx="1579880" cy="2107565"/>
                          </a:xfrm>
                          <a:prstGeom prst="rect">
                            <a:avLst/>
                          </a:prstGeom>
                        </pic:spPr>
                      </pic:pic>
                    </a:graphicData>
                  </a:graphic>
                </wp:anchor>
              </w:drawing>
            </w:r>
            <w:r>
              <w:rPr>
                <w:rFonts w:hint="default" w:eastAsia="仿宋_GB2312"/>
                <w:color w:val="auto"/>
                <w:vertAlign w:val="baseline"/>
                <w:lang w:val="en-US" w:eastAsia="zh-CN"/>
              </w:rPr>
              <w:drawing>
                <wp:anchor distT="0" distB="0" distL="114300" distR="114300" simplePos="0" relativeHeight="251677696" behindDoc="0" locked="0" layoutInCell="1" allowOverlap="1">
                  <wp:simplePos x="0" y="0"/>
                  <wp:positionH relativeFrom="column">
                    <wp:posOffset>125730</wp:posOffset>
                  </wp:positionH>
                  <wp:positionV relativeFrom="paragraph">
                    <wp:posOffset>25400</wp:posOffset>
                  </wp:positionV>
                  <wp:extent cx="3314700" cy="2486025"/>
                  <wp:effectExtent l="0" t="0" r="0" b="9525"/>
                  <wp:wrapSquare wrapText="bothSides"/>
                  <wp:docPr id="31" name="图片 31" descr="IMG_20251218_16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_20251218_162742"/>
                          <pic:cNvPicPr>
                            <a:picLocks noChangeAspect="1"/>
                          </pic:cNvPicPr>
                        </pic:nvPicPr>
                        <pic:blipFill>
                          <a:blip r:embed="rId30"/>
                          <a:stretch>
                            <a:fillRect/>
                          </a:stretch>
                        </pic:blipFill>
                        <pic:spPr>
                          <a:xfrm>
                            <a:off x="0" y="0"/>
                            <a:ext cx="3314700" cy="2486025"/>
                          </a:xfrm>
                          <a:prstGeom prst="rect">
                            <a:avLst/>
                          </a:prstGeom>
                        </pic:spPr>
                      </pic:pic>
                    </a:graphicData>
                  </a:graphic>
                </wp:anchor>
              </w:drawing>
            </w:r>
          </w:p>
        </w:tc>
      </w:tr>
    </w:tbl>
    <w:p w14:paraId="463F5BDC">
      <w:pPr>
        <w:pStyle w:val="15"/>
        <w:numPr>
          <w:ilvl w:val="0"/>
          <w:numId w:val="0"/>
        </w:numPr>
        <w:tabs>
          <w:tab w:val="left" w:pos="2426"/>
        </w:tabs>
        <w:spacing w:line="560" w:lineRule="exact"/>
        <w:ind w:left="640"/>
        <w:outlineLvl w:val="1"/>
        <w:rPr>
          <w:rFonts w:hint="default" w:eastAsia="仿宋_GB2312"/>
          <w:color w:val="auto"/>
          <w:lang w:val="en-US" w:eastAsia="zh-CN"/>
        </w:rPr>
      </w:pPr>
      <w:r>
        <w:rPr>
          <w:rFonts w:hint="eastAsia" w:eastAsia="仿宋_GB2312"/>
          <w:color w:val="auto"/>
          <w:lang w:val="en-US" w:eastAsia="zh-CN"/>
        </w:rPr>
        <w:t>（五）苗木出圃</w:t>
      </w:r>
    </w:p>
    <w:p w14:paraId="6A129F56">
      <w:pPr>
        <w:pStyle w:val="15"/>
        <w:numPr>
          <w:ilvl w:val="0"/>
          <w:numId w:val="0"/>
        </w:numPr>
        <w:tabs>
          <w:tab w:val="left" w:pos="2426"/>
        </w:tabs>
        <w:spacing w:line="560" w:lineRule="exact"/>
        <w:ind w:left="0" w:firstLine="640" w:firstLineChars="200"/>
        <w:outlineLvl w:val="1"/>
        <w:rPr>
          <w:rFonts w:hint="eastAsia" w:eastAsia="仿宋_GB2312"/>
          <w:color w:val="auto"/>
          <w:lang w:eastAsia="zh-CN"/>
        </w:rPr>
      </w:pPr>
      <w:r>
        <w:rPr>
          <w:rFonts w:hint="eastAsia" w:eastAsia="仿宋_GB2312"/>
          <w:color w:val="auto"/>
        </w:rPr>
        <w:t>扦插地苗1 年生竹苗处于营养生长旺盛、分生能力强、木质化适中阶段，移栽后根系恢复快、萌芽发笋早；苗龄过短则种苗细弱、抗逆性差，苗龄过长易出现根系老化、窝根，移栽成活率下降。地径≥1.5 cm、苗高≥50 cm</w:t>
      </w:r>
      <w:r>
        <w:rPr>
          <w:rFonts w:hint="eastAsia" w:eastAsia="仿宋_GB2312"/>
          <w:color w:val="auto"/>
          <w:lang w:eastAsia="zh-CN"/>
        </w:rPr>
        <w:t>。</w:t>
      </w:r>
      <w:r>
        <w:rPr>
          <w:rFonts w:hint="eastAsia" w:eastAsia="仿宋_GB2312"/>
          <w:color w:val="auto"/>
        </w:rPr>
        <w:t>地径与苗高是衡量竹苗长势、养分积累、根系发育的核心量化指标，达到该标准说明种苗光合能力强、干物质积累充足，可抵御移栽过程中的水分流失与环境胁迫</w:t>
      </w:r>
      <w:r>
        <w:rPr>
          <w:rFonts w:hint="eastAsia" w:eastAsia="仿宋_GB2312"/>
          <w:color w:val="auto"/>
          <w:lang w:eastAsia="zh-CN"/>
        </w:rPr>
        <w:t>。</w:t>
      </w:r>
    </w:p>
    <w:p w14:paraId="381E0C45">
      <w:pPr>
        <w:pStyle w:val="15"/>
        <w:numPr>
          <w:ilvl w:val="0"/>
          <w:numId w:val="0"/>
        </w:numPr>
        <w:tabs>
          <w:tab w:val="left" w:pos="2426"/>
        </w:tabs>
        <w:spacing w:line="560" w:lineRule="exact"/>
        <w:ind w:left="0" w:firstLine="640" w:firstLineChars="200"/>
        <w:outlineLvl w:val="1"/>
        <w:rPr>
          <w:rFonts w:hint="eastAsia" w:eastAsia="仿宋_GB2312"/>
          <w:color w:val="auto"/>
        </w:rPr>
      </w:pPr>
      <w:r>
        <w:rPr>
          <w:rFonts w:hint="eastAsia" w:eastAsia="仿宋_GB2312"/>
          <w:color w:val="auto"/>
        </w:rPr>
        <w:t>竹箨自然脱落标志着竹秆充分木质化、生理成熟，种苗抗寒、抗旱、抗病能力显著提升，避免嫩苗移栽后干枯死亡。无黄化、无病虫害</w:t>
      </w:r>
      <w:r>
        <w:rPr>
          <w:rFonts w:hint="eastAsia" w:eastAsia="仿宋_GB2312"/>
          <w:color w:val="auto"/>
          <w:lang w:eastAsia="zh-CN"/>
        </w:rPr>
        <w:t>：</w:t>
      </w:r>
      <w:r>
        <w:rPr>
          <w:rFonts w:hint="eastAsia" w:eastAsia="仿宋_GB2312"/>
          <w:color w:val="auto"/>
        </w:rPr>
        <w:t>杜绝带病带虫苗出圃，防止病虫害随种苗扩散至新建笋用林，同时保证种苗长势健康，避免弱苗、病苗移栽后死亡，保障老友粉原料林建园成功率。根系发育完整</w:t>
      </w:r>
      <w:r>
        <w:rPr>
          <w:rFonts w:hint="eastAsia" w:eastAsia="仿宋_GB2312"/>
          <w:color w:val="auto"/>
          <w:lang w:eastAsia="zh-CN"/>
        </w:rPr>
        <w:t>：</w:t>
      </w:r>
      <w:r>
        <w:rPr>
          <w:rFonts w:hint="eastAsia" w:eastAsia="仿宋_GB2312"/>
          <w:color w:val="auto"/>
        </w:rPr>
        <w:t>完整的须根系统是移栽后快速吸水吸肥、缩短缓苗期的关键，根系破损、须根稀少的种苗移栽成活率大幅降低。</w:t>
      </w:r>
    </w:p>
    <w:p w14:paraId="08D9622F">
      <w:pPr>
        <w:pStyle w:val="15"/>
        <w:numPr>
          <w:ilvl w:val="0"/>
          <w:numId w:val="0"/>
        </w:numPr>
        <w:tabs>
          <w:tab w:val="left" w:pos="2426"/>
        </w:tabs>
        <w:spacing w:line="560" w:lineRule="exact"/>
        <w:ind w:left="0" w:firstLine="640" w:firstLineChars="200"/>
        <w:outlineLvl w:val="1"/>
        <w:rPr>
          <w:rFonts w:hint="eastAsia" w:eastAsia="仿宋_GB2312"/>
          <w:color w:val="auto"/>
        </w:rPr>
      </w:pPr>
      <w:r>
        <w:rPr>
          <w:rFonts w:hint="eastAsia" w:eastAsia="仿宋_GB2312"/>
          <w:color w:val="auto"/>
        </w:rPr>
        <w:t>不同规格扦插地苗出圃移栽效果</w:t>
      </w:r>
    </w:p>
    <w:tbl>
      <w:tblPr>
        <w:tblStyle w:val="1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2415"/>
        <w:gridCol w:w="1507"/>
        <w:gridCol w:w="1722"/>
        <w:gridCol w:w="1670"/>
        <w:gridCol w:w="1452"/>
      </w:tblGrid>
      <w:tr w14:paraId="3A6CF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blHeader/>
          <w:jc w:val="center"/>
        </w:trPr>
        <w:tc>
          <w:tcPr>
            <w:tcW w:w="1377" w:type="pct"/>
            <w:shd w:val="clear" w:color="auto" w:fill="auto"/>
            <w:tcMar>
              <w:top w:w="69" w:type="dxa"/>
              <w:left w:w="69" w:type="dxa"/>
              <w:bottom w:w="69" w:type="dxa"/>
              <w:right w:w="69" w:type="dxa"/>
            </w:tcMar>
            <w:vAlign w:val="center"/>
          </w:tcPr>
          <w:p w14:paraId="7D7493C5">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地径 / 苗高规格</w:t>
            </w:r>
          </w:p>
        </w:tc>
        <w:tc>
          <w:tcPr>
            <w:tcW w:w="859" w:type="pct"/>
            <w:shd w:val="clear" w:color="auto" w:fill="auto"/>
            <w:tcMar>
              <w:top w:w="69" w:type="dxa"/>
              <w:left w:w="69" w:type="dxa"/>
              <w:bottom w:w="69" w:type="dxa"/>
              <w:right w:w="69" w:type="dxa"/>
            </w:tcMar>
            <w:vAlign w:val="center"/>
          </w:tcPr>
          <w:p w14:paraId="1A0D0EA0">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移栽成活率（%）</w:t>
            </w:r>
          </w:p>
        </w:tc>
        <w:tc>
          <w:tcPr>
            <w:tcW w:w="982" w:type="pct"/>
            <w:shd w:val="clear" w:color="auto" w:fill="auto"/>
            <w:tcMar>
              <w:top w:w="69" w:type="dxa"/>
              <w:left w:w="69" w:type="dxa"/>
              <w:bottom w:w="69" w:type="dxa"/>
              <w:right w:w="69" w:type="dxa"/>
            </w:tcMar>
            <w:vAlign w:val="center"/>
          </w:tcPr>
          <w:p w14:paraId="5AF65F56">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当年新竹抽生率（%）</w:t>
            </w:r>
          </w:p>
        </w:tc>
        <w:tc>
          <w:tcPr>
            <w:tcW w:w="952" w:type="pct"/>
            <w:shd w:val="clear" w:color="auto" w:fill="auto"/>
            <w:tcMar>
              <w:top w:w="69" w:type="dxa"/>
              <w:left w:w="69" w:type="dxa"/>
              <w:bottom w:w="69" w:type="dxa"/>
              <w:right w:w="69" w:type="dxa"/>
            </w:tcMar>
            <w:vAlign w:val="center"/>
          </w:tcPr>
          <w:p w14:paraId="7ACD1EB5">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黄化 / 枯死率（%）</w:t>
            </w:r>
          </w:p>
        </w:tc>
        <w:tc>
          <w:tcPr>
            <w:tcW w:w="828" w:type="pct"/>
            <w:shd w:val="clear" w:color="auto" w:fill="auto"/>
            <w:tcMar>
              <w:top w:w="69" w:type="dxa"/>
              <w:left w:w="69" w:type="dxa"/>
              <w:bottom w:w="69" w:type="dxa"/>
              <w:right w:w="69" w:type="dxa"/>
            </w:tcMar>
            <w:vAlign w:val="center"/>
          </w:tcPr>
          <w:p w14:paraId="5D4452DE">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综合判定</w:t>
            </w:r>
          </w:p>
        </w:tc>
      </w:tr>
      <w:tr w14:paraId="7304E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1377" w:type="pct"/>
            <w:shd w:val="clear" w:color="auto" w:fill="auto"/>
            <w:tcMar>
              <w:top w:w="69" w:type="dxa"/>
              <w:left w:w="69" w:type="dxa"/>
              <w:bottom w:w="69" w:type="dxa"/>
              <w:right w:w="69" w:type="dxa"/>
            </w:tcMar>
            <w:vAlign w:val="center"/>
          </w:tcPr>
          <w:p w14:paraId="12D1E1D5">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地径＜1.5 cm，苗高＜50 cm</w:t>
            </w:r>
          </w:p>
        </w:tc>
        <w:tc>
          <w:tcPr>
            <w:tcW w:w="859" w:type="pct"/>
            <w:shd w:val="clear" w:color="auto" w:fill="auto"/>
            <w:tcMar>
              <w:top w:w="69" w:type="dxa"/>
              <w:left w:w="69" w:type="dxa"/>
              <w:bottom w:w="69" w:type="dxa"/>
              <w:right w:w="69" w:type="dxa"/>
            </w:tcMar>
            <w:vAlign w:val="center"/>
          </w:tcPr>
          <w:p w14:paraId="17CA164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62.3</w:t>
            </w:r>
          </w:p>
        </w:tc>
        <w:tc>
          <w:tcPr>
            <w:tcW w:w="982" w:type="pct"/>
            <w:shd w:val="clear" w:color="auto" w:fill="auto"/>
            <w:tcMar>
              <w:top w:w="69" w:type="dxa"/>
              <w:left w:w="69" w:type="dxa"/>
              <w:bottom w:w="69" w:type="dxa"/>
              <w:right w:w="69" w:type="dxa"/>
            </w:tcMar>
            <w:vAlign w:val="center"/>
          </w:tcPr>
          <w:p w14:paraId="7BF593D8">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31.6</w:t>
            </w:r>
          </w:p>
        </w:tc>
        <w:tc>
          <w:tcPr>
            <w:tcW w:w="952" w:type="pct"/>
            <w:shd w:val="clear" w:color="auto" w:fill="auto"/>
            <w:tcMar>
              <w:top w:w="69" w:type="dxa"/>
              <w:left w:w="69" w:type="dxa"/>
              <w:bottom w:w="69" w:type="dxa"/>
              <w:right w:w="69" w:type="dxa"/>
            </w:tcMar>
            <w:vAlign w:val="center"/>
          </w:tcPr>
          <w:p w14:paraId="0B08F5C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35.7</w:t>
            </w:r>
          </w:p>
        </w:tc>
        <w:tc>
          <w:tcPr>
            <w:tcW w:w="828" w:type="pct"/>
            <w:shd w:val="clear" w:color="auto" w:fill="auto"/>
            <w:tcMar>
              <w:top w:w="69" w:type="dxa"/>
              <w:left w:w="69" w:type="dxa"/>
              <w:bottom w:w="69" w:type="dxa"/>
              <w:right w:w="69" w:type="dxa"/>
            </w:tcMar>
            <w:vAlign w:val="center"/>
          </w:tcPr>
          <w:p w14:paraId="38BCF7C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不合格</w:t>
            </w:r>
          </w:p>
        </w:tc>
      </w:tr>
      <w:tr w14:paraId="0A0EB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1377" w:type="pct"/>
            <w:shd w:val="clear" w:color="auto" w:fill="auto"/>
            <w:tcMar>
              <w:top w:w="69" w:type="dxa"/>
              <w:left w:w="69" w:type="dxa"/>
              <w:bottom w:w="69" w:type="dxa"/>
              <w:right w:w="69" w:type="dxa"/>
            </w:tcMar>
            <w:vAlign w:val="center"/>
          </w:tcPr>
          <w:p w14:paraId="49D29AB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地径 1.5～1.7 cm，苗高 50～60 cm</w:t>
            </w:r>
          </w:p>
        </w:tc>
        <w:tc>
          <w:tcPr>
            <w:tcW w:w="859" w:type="pct"/>
            <w:shd w:val="clear" w:color="auto" w:fill="auto"/>
            <w:tcMar>
              <w:top w:w="69" w:type="dxa"/>
              <w:left w:w="69" w:type="dxa"/>
              <w:bottom w:w="69" w:type="dxa"/>
              <w:right w:w="69" w:type="dxa"/>
            </w:tcMar>
            <w:vAlign w:val="center"/>
          </w:tcPr>
          <w:p w14:paraId="0639A0FE">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91.4</w:t>
            </w:r>
          </w:p>
        </w:tc>
        <w:tc>
          <w:tcPr>
            <w:tcW w:w="982" w:type="pct"/>
            <w:shd w:val="clear" w:color="auto" w:fill="auto"/>
            <w:tcMar>
              <w:top w:w="69" w:type="dxa"/>
              <w:left w:w="69" w:type="dxa"/>
              <w:bottom w:w="69" w:type="dxa"/>
              <w:right w:w="69" w:type="dxa"/>
            </w:tcMar>
            <w:vAlign w:val="center"/>
          </w:tcPr>
          <w:p w14:paraId="710D1CAB">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82.5</w:t>
            </w:r>
          </w:p>
        </w:tc>
        <w:tc>
          <w:tcPr>
            <w:tcW w:w="952" w:type="pct"/>
            <w:shd w:val="clear" w:color="auto" w:fill="auto"/>
            <w:tcMar>
              <w:top w:w="69" w:type="dxa"/>
              <w:left w:w="69" w:type="dxa"/>
              <w:bottom w:w="69" w:type="dxa"/>
              <w:right w:w="69" w:type="dxa"/>
            </w:tcMar>
            <w:vAlign w:val="center"/>
          </w:tcPr>
          <w:p w14:paraId="00952A8A">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4.2</w:t>
            </w:r>
          </w:p>
        </w:tc>
        <w:tc>
          <w:tcPr>
            <w:tcW w:w="828" w:type="pct"/>
            <w:shd w:val="clear" w:color="auto" w:fill="auto"/>
            <w:tcMar>
              <w:top w:w="69" w:type="dxa"/>
              <w:left w:w="69" w:type="dxa"/>
              <w:bottom w:w="69" w:type="dxa"/>
              <w:right w:w="69" w:type="dxa"/>
            </w:tcMar>
            <w:vAlign w:val="center"/>
          </w:tcPr>
          <w:p w14:paraId="6D91655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合格</w:t>
            </w:r>
          </w:p>
        </w:tc>
      </w:tr>
      <w:tr w14:paraId="2D0CB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1377" w:type="pct"/>
            <w:shd w:val="clear" w:color="auto" w:fill="auto"/>
            <w:tcMar>
              <w:top w:w="69" w:type="dxa"/>
              <w:left w:w="69" w:type="dxa"/>
              <w:bottom w:w="69" w:type="dxa"/>
              <w:right w:w="69" w:type="dxa"/>
            </w:tcMar>
            <w:vAlign w:val="center"/>
          </w:tcPr>
          <w:p w14:paraId="1F09405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地径 1.7～2.0 cm，苗高 60～70 cm</w:t>
            </w:r>
          </w:p>
        </w:tc>
        <w:tc>
          <w:tcPr>
            <w:tcW w:w="859" w:type="pct"/>
            <w:shd w:val="clear" w:color="auto" w:fill="auto"/>
            <w:tcMar>
              <w:top w:w="69" w:type="dxa"/>
              <w:left w:w="69" w:type="dxa"/>
              <w:bottom w:w="69" w:type="dxa"/>
              <w:right w:w="69" w:type="dxa"/>
            </w:tcMar>
            <w:vAlign w:val="center"/>
          </w:tcPr>
          <w:p w14:paraId="169B0692">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92.7</w:t>
            </w:r>
          </w:p>
        </w:tc>
        <w:tc>
          <w:tcPr>
            <w:tcW w:w="982" w:type="pct"/>
            <w:shd w:val="clear" w:color="auto" w:fill="auto"/>
            <w:tcMar>
              <w:top w:w="69" w:type="dxa"/>
              <w:left w:w="69" w:type="dxa"/>
              <w:bottom w:w="69" w:type="dxa"/>
              <w:right w:w="69" w:type="dxa"/>
            </w:tcMar>
            <w:vAlign w:val="center"/>
          </w:tcPr>
          <w:p w14:paraId="7DC984E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85.3</w:t>
            </w:r>
          </w:p>
        </w:tc>
        <w:tc>
          <w:tcPr>
            <w:tcW w:w="952" w:type="pct"/>
            <w:shd w:val="clear" w:color="auto" w:fill="auto"/>
            <w:tcMar>
              <w:top w:w="69" w:type="dxa"/>
              <w:left w:w="69" w:type="dxa"/>
              <w:bottom w:w="69" w:type="dxa"/>
              <w:right w:w="69" w:type="dxa"/>
            </w:tcMar>
            <w:vAlign w:val="center"/>
          </w:tcPr>
          <w:p w14:paraId="52CA351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3.1</w:t>
            </w:r>
          </w:p>
        </w:tc>
        <w:tc>
          <w:tcPr>
            <w:tcW w:w="828" w:type="pct"/>
            <w:shd w:val="clear" w:color="auto" w:fill="auto"/>
            <w:tcMar>
              <w:top w:w="69" w:type="dxa"/>
              <w:left w:w="69" w:type="dxa"/>
              <w:bottom w:w="69" w:type="dxa"/>
              <w:right w:w="69" w:type="dxa"/>
            </w:tcMar>
            <w:vAlign w:val="center"/>
          </w:tcPr>
          <w:p w14:paraId="7C95BCFA">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优良</w:t>
            </w:r>
          </w:p>
        </w:tc>
      </w:tr>
      <w:tr w14:paraId="0F0FB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1377" w:type="pct"/>
            <w:shd w:val="clear" w:color="auto" w:fill="auto"/>
            <w:tcMar>
              <w:top w:w="69" w:type="dxa"/>
              <w:left w:w="69" w:type="dxa"/>
              <w:bottom w:w="69" w:type="dxa"/>
              <w:right w:w="69" w:type="dxa"/>
            </w:tcMar>
            <w:vAlign w:val="center"/>
          </w:tcPr>
          <w:p w14:paraId="0A7AD8AD">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地径≥2.0 cm，苗高≥70 cm</w:t>
            </w:r>
          </w:p>
        </w:tc>
        <w:tc>
          <w:tcPr>
            <w:tcW w:w="859" w:type="pct"/>
            <w:shd w:val="clear" w:color="auto" w:fill="auto"/>
            <w:tcMar>
              <w:top w:w="69" w:type="dxa"/>
              <w:left w:w="69" w:type="dxa"/>
              <w:bottom w:w="69" w:type="dxa"/>
              <w:right w:w="69" w:type="dxa"/>
            </w:tcMar>
            <w:vAlign w:val="center"/>
          </w:tcPr>
          <w:p w14:paraId="0BB434C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90.5</w:t>
            </w:r>
          </w:p>
        </w:tc>
        <w:tc>
          <w:tcPr>
            <w:tcW w:w="982" w:type="pct"/>
            <w:shd w:val="clear" w:color="auto" w:fill="auto"/>
            <w:tcMar>
              <w:top w:w="69" w:type="dxa"/>
              <w:left w:w="69" w:type="dxa"/>
              <w:bottom w:w="69" w:type="dxa"/>
              <w:right w:w="69" w:type="dxa"/>
            </w:tcMar>
            <w:vAlign w:val="center"/>
          </w:tcPr>
          <w:p w14:paraId="12D3DA9A">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81.8</w:t>
            </w:r>
          </w:p>
        </w:tc>
        <w:tc>
          <w:tcPr>
            <w:tcW w:w="952" w:type="pct"/>
            <w:shd w:val="clear" w:color="auto" w:fill="auto"/>
            <w:tcMar>
              <w:top w:w="69" w:type="dxa"/>
              <w:left w:w="69" w:type="dxa"/>
              <w:bottom w:w="69" w:type="dxa"/>
              <w:right w:w="69" w:type="dxa"/>
            </w:tcMar>
            <w:vAlign w:val="center"/>
          </w:tcPr>
          <w:p w14:paraId="5FDF2A0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2.8</w:t>
            </w:r>
          </w:p>
        </w:tc>
        <w:tc>
          <w:tcPr>
            <w:tcW w:w="828" w:type="pct"/>
            <w:shd w:val="clear" w:color="auto" w:fill="auto"/>
            <w:tcMar>
              <w:top w:w="69" w:type="dxa"/>
              <w:left w:w="69" w:type="dxa"/>
              <w:bottom w:w="69" w:type="dxa"/>
              <w:right w:w="69" w:type="dxa"/>
            </w:tcMar>
            <w:vAlign w:val="center"/>
          </w:tcPr>
          <w:p w14:paraId="71A5E6D7">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优良，但成本偏高</w:t>
            </w:r>
          </w:p>
        </w:tc>
      </w:tr>
    </w:tbl>
    <w:p w14:paraId="7485480E">
      <w:pPr>
        <w:pStyle w:val="15"/>
        <w:numPr>
          <w:ilvl w:val="0"/>
          <w:numId w:val="0"/>
        </w:numPr>
        <w:tabs>
          <w:tab w:val="left" w:pos="2426"/>
        </w:tabs>
        <w:spacing w:line="560" w:lineRule="exact"/>
        <w:ind w:left="0" w:firstLine="640" w:firstLineChars="200"/>
        <w:outlineLvl w:val="1"/>
        <w:rPr>
          <w:rFonts w:hint="eastAsia" w:eastAsia="仿宋_GB2312"/>
          <w:color w:val="auto"/>
        </w:rPr>
      </w:pPr>
    </w:p>
    <w:p w14:paraId="00C8D71C">
      <w:pPr>
        <w:pStyle w:val="15"/>
        <w:numPr>
          <w:ilvl w:val="0"/>
          <w:numId w:val="0"/>
        </w:numPr>
        <w:tabs>
          <w:tab w:val="left" w:pos="2426"/>
        </w:tabs>
        <w:spacing w:line="560" w:lineRule="exact"/>
        <w:ind w:left="0" w:firstLine="640" w:firstLineChars="200"/>
        <w:outlineLvl w:val="1"/>
        <w:rPr>
          <w:rFonts w:hint="eastAsia" w:eastAsia="仿宋_GB2312"/>
          <w:color w:val="auto"/>
          <w:lang w:eastAsia="zh-CN"/>
        </w:rPr>
      </w:pPr>
      <w:r>
        <w:rPr>
          <w:rFonts w:hint="eastAsia" w:eastAsia="仿宋_GB2312"/>
          <w:color w:val="auto"/>
          <w:lang w:eastAsia="zh-CN"/>
        </w:rPr>
        <w:t>容器苗出圃</w:t>
      </w:r>
    </w:p>
    <w:p w14:paraId="207EE762">
      <w:pPr>
        <w:pStyle w:val="15"/>
        <w:numPr>
          <w:ilvl w:val="0"/>
          <w:numId w:val="0"/>
        </w:numPr>
        <w:tabs>
          <w:tab w:val="left" w:pos="2426"/>
        </w:tabs>
        <w:spacing w:line="560" w:lineRule="exact"/>
        <w:ind w:left="0" w:firstLine="640" w:firstLineChars="200"/>
        <w:outlineLvl w:val="1"/>
        <w:rPr>
          <w:rFonts w:hint="eastAsia" w:eastAsia="仿宋_GB2312"/>
          <w:color w:val="auto"/>
        </w:rPr>
      </w:pPr>
      <w:r>
        <w:rPr>
          <w:rFonts w:hint="eastAsia" w:eastAsia="仿宋_GB2312"/>
          <w:color w:val="auto"/>
        </w:rPr>
        <w:t>容器苗空间有限，1 年生为最佳出圃苗龄，避免长期培育出现根系盘结、老化，同时保证种苗长势与地苗同步，满足规模化种植需求。至少 5 张新叶</w:t>
      </w:r>
      <w:r>
        <w:rPr>
          <w:rFonts w:hint="eastAsia" w:eastAsia="仿宋_GB2312"/>
          <w:color w:val="auto"/>
          <w:lang w:eastAsia="zh-CN"/>
        </w:rPr>
        <w:t>：</w:t>
      </w:r>
      <w:r>
        <w:rPr>
          <w:rFonts w:hint="eastAsia" w:eastAsia="仿宋_GB2312"/>
          <w:color w:val="auto"/>
        </w:rPr>
        <w:t>5 张以上功能叶表明种苗光合系统健全、养分自供能力强，移栽后可持续进行光合作用供给根系恢复，不受制于容器基质有限养分，是容器苗移栽成活的关键形态标志。</w:t>
      </w:r>
    </w:p>
    <w:p w14:paraId="27BE1887">
      <w:pPr>
        <w:pStyle w:val="15"/>
        <w:numPr>
          <w:ilvl w:val="0"/>
          <w:numId w:val="0"/>
        </w:numPr>
        <w:tabs>
          <w:tab w:val="left" w:pos="2426"/>
        </w:tabs>
        <w:spacing w:line="560" w:lineRule="exact"/>
        <w:ind w:left="0" w:firstLine="640" w:firstLineChars="200"/>
        <w:outlineLvl w:val="1"/>
        <w:rPr>
          <w:rFonts w:hint="eastAsia" w:eastAsia="仿宋_GB2312"/>
          <w:color w:val="auto"/>
        </w:rPr>
      </w:pPr>
      <w:r>
        <w:rPr>
          <w:rFonts w:hint="eastAsia" w:eastAsia="仿宋_GB2312"/>
          <w:color w:val="auto"/>
        </w:rPr>
        <w:t>不同新叶数量容器苗出圃移栽效果</w:t>
      </w:r>
    </w:p>
    <w:tbl>
      <w:tblPr>
        <w:tblStyle w:val="1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2007"/>
        <w:gridCol w:w="1956"/>
        <w:gridCol w:w="1759"/>
        <w:gridCol w:w="1956"/>
        <w:gridCol w:w="1088"/>
      </w:tblGrid>
      <w:tr w14:paraId="09119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blHeader/>
          <w:jc w:val="center"/>
        </w:trPr>
        <w:tc>
          <w:tcPr>
            <w:tcW w:w="1144" w:type="pct"/>
            <w:shd w:val="clear" w:color="auto" w:fill="auto"/>
            <w:tcMar>
              <w:top w:w="69" w:type="dxa"/>
              <w:left w:w="69" w:type="dxa"/>
              <w:bottom w:w="69" w:type="dxa"/>
              <w:right w:w="69" w:type="dxa"/>
            </w:tcMar>
            <w:vAlign w:val="center"/>
          </w:tcPr>
          <w:p w14:paraId="0CFD770F">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新叶数量（张）</w:t>
            </w:r>
          </w:p>
        </w:tc>
        <w:tc>
          <w:tcPr>
            <w:tcW w:w="1115" w:type="pct"/>
            <w:shd w:val="clear" w:color="auto" w:fill="auto"/>
            <w:tcMar>
              <w:top w:w="69" w:type="dxa"/>
              <w:left w:w="69" w:type="dxa"/>
              <w:bottom w:w="69" w:type="dxa"/>
              <w:right w:w="69" w:type="dxa"/>
            </w:tcMar>
            <w:vAlign w:val="center"/>
          </w:tcPr>
          <w:p w14:paraId="73C39581">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移栽成活率（%）</w:t>
            </w:r>
          </w:p>
        </w:tc>
        <w:tc>
          <w:tcPr>
            <w:tcW w:w="1003" w:type="pct"/>
            <w:shd w:val="clear" w:color="auto" w:fill="auto"/>
            <w:tcMar>
              <w:top w:w="69" w:type="dxa"/>
              <w:left w:w="69" w:type="dxa"/>
              <w:bottom w:w="69" w:type="dxa"/>
              <w:right w:w="69" w:type="dxa"/>
            </w:tcMar>
            <w:vAlign w:val="center"/>
          </w:tcPr>
          <w:p w14:paraId="74C1A36F">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缓苗天数（d）</w:t>
            </w:r>
          </w:p>
        </w:tc>
        <w:tc>
          <w:tcPr>
            <w:tcW w:w="1115" w:type="pct"/>
            <w:shd w:val="clear" w:color="auto" w:fill="auto"/>
            <w:tcMar>
              <w:top w:w="69" w:type="dxa"/>
              <w:left w:w="69" w:type="dxa"/>
              <w:bottom w:w="69" w:type="dxa"/>
              <w:right w:w="69" w:type="dxa"/>
            </w:tcMar>
            <w:vAlign w:val="center"/>
          </w:tcPr>
          <w:p w14:paraId="1D74A8B1">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叶片萎蔫率（%）</w:t>
            </w:r>
          </w:p>
        </w:tc>
        <w:tc>
          <w:tcPr>
            <w:tcW w:w="620" w:type="pct"/>
            <w:shd w:val="clear" w:color="auto" w:fill="auto"/>
            <w:tcMar>
              <w:top w:w="69" w:type="dxa"/>
              <w:left w:w="69" w:type="dxa"/>
              <w:bottom w:w="69" w:type="dxa"/>
              <w:right w:w="69" w:type="dxa"/>
            </w:tcMar>
            <w:vAlign w:val="center"/>
          </w:tcPr>
          <w:p w14:paraId="080ED464">
            <w:pPr>
              <w:keepNext w:val="0"/>
              <w:keepLines w:val="0"/>
              <w:widowControl/>
              <w:suppressLineNumbers w:val="0"/>
              <w:spacing w:before="0" w:beforeAutospacing="0" w:after="0" w:afterAutospacing="0"/>
              <w:ind w:left="0" w:right="0"/>
              <w:jc w:val="left"/>
              <w:rPr>
                <w:rFonts w:hint="default"/>
                <w:b/>
                <w:bCs/>
                <w:caps w:val="0"/>
                <w:spacing w:val="0"/>
              </w:rPr>
            </w:pPr>
            <w:r>
              <w:rPr>
                <w:rFonts w:hint="default" w:ascii="宋体" w:hAnsi="宋体" w:eastAsia="宋体" w:cs="宋体"/>
                <w:b/>
                <w:bCs/>
                <w:caps w:val="0"/>
                <w:spacing w:val="0"/>
                <w:kern w:val="0"/>
                <w:sz w:val="24"/>
                <w:szCs w:val="24"/>
                <w:lang w:val="en-US" w:eastAsia="zh-CN" w:bidi="ar"/>
              </w:rPr>
              <w:t>综合判定</w:t>
            </w:r>
          </w:p>
        </w:tc>
      </w:tr>
      <w:tr w14:paraId="26793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1144" w:type="pct"/>
            <w:shd w:val="clear" w:color="auto" w:fill="auto"/>
            <w:tcMar>
              <w:top w:w="69" w:type="dxa"/>
              <w:left w:w="69" w:type="dxa"/>
              <w:bottom w:w="69" w:type="dxa"/>
              <w:right w:w="69" w:type="dxa"/>
            </w:tcMar>
            <w:vAlign w:val="center"/>
          </w:tcPr>
          <w:p w14:paraId="5115D40E">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w:t>
            </w:r>
          </w:p>
        </w:tc>
        <w:tc>
          <w:tcPr>
            <w:tcW w:w="1115" w:type="pct"/>
            <w:shd w:val="clear" w:color="auto" w:fill="auto"/>
            <w:tcMar>
              <w:top w:w="69" w:type="dxa"/>
              <w:left w:w="69" w:type="dxa"/>
              <w:bottom w:w="69" w:type="dxa"/>
              <w:right w:w="69" w:type="dxa"/>
            </w:tcMar>
            <w:vAlign w:val="center"/>
          </w:tcPr>
          <w:p w14:paraId="7743895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65.6</w:t>
            </w:r>
          </w:p>
        </w:tc>
        <w:tc>
          <w:tcPr>
            <w:tcW w:w="1003" w:type="pct"/>
            <w:shd w:val="clear" w:color="auto" w:fill="auto"/>
            <w:tcMar>
              <w:top w:w="69" w:type="dxa"/>
              <w:left w:w="69" w:type="dxa"/>
              <w:bottom w:w="69" w:type="dxa"/>
              <w:right w:w="69" w:type="dxa"/>
            </w:tcMar>
            <w:vAlign w:val="center"/>
          </w:tcPr>
          <w:p w14:paraId="7A23E449">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18～22</w:t>
            </w:r>
          </w:p>
        </w:tc>
        <w:tc>
          <w:tcPr>
            <w:tcW w:w="1115" w:type="pct"/>
            <w:shd w:val="clear" w:color="auto" w:fill="auto"/>
            <w:tcMar>
              <w:top w:w="69" w:type="dxa"/>
              <w:left w:w="69" w:type="dxa"/>
              <w:bottom w:w="69" w:type="dxa"/>
              <w:right w:w="69" w:type="dxa"/>
            </w:tcMar>
            <w:vAlign w:val="center"/>
          </w:tcPr>
          <w:p w14:paraId="41849362">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41.3</w:t>
            </w:r>
          </w:p>
        </w:tc>
        <w:tc>
          <w:tcPr>
            <w:tcW w:w="620" w:type="pct"/>
            <w:shd w:val="clear" w:color="auto" w:fill="auto"/>
            <w:tcMar>
              <w:top w:w="69" w:type="dxa"/>
              <w:left w:w="69" w:type="dxa"/>
              <w:bottom w:w="69" w:type="dxa"/>
              <w:right w:w="69" w:type="dxa"/>
            </w:tcMar>
            <w:vAlign w:val="center"/>
          </w:tcPr>
          <w:p w14:paraId="1E5BB74E">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不合格</w:t>
            </w:r>
          </w:p>
        </w:tc>
      </w:tr>
      <w:tr w14:paraId="20367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1144" w:type="pct"/>
            <w:shd w:val="clear" w:color="auto" w:fill="auto"/>
            <w:tcMar>
              <w:top w:w="69" w:type="dxa"/>
              <w:left w:w="69" w:type="dxa"/>
              <w:bottom w:w="69" w:type="dxa"/>
              <w:right w:w="69" w:type="dxa"/>
            </w:tcMar>
            <w:vAlign w:val="center"/>
          </w:tcPr>
          <w:p w14:paraId="6F4D1F0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3～4</w:t>
            </w:r>
          </w:p>
        </w:tc>
        <w:tc>
          <w:tcPr>
            <w:tcW w:w="1115" w:type="pct"/>
            <w:shd w:val="clear" w:color="auto" w:fill="auto"/>
            <w:tcMar>
              <w:top w:w="69" w:type="dxa"/>
              <w:left w:w="69" w:type="dxa"/>
              <w:bottom w:w="69" w:type="dxa"/>
              <w:right w:w="69" w:type="dxa"/>
            </w:tcMar>
            <w:vAlign w:val="center"/>
          </w:tcPr>
          <w:p w14:paraId="0BE2292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78.2</w:t>
            </w:r>
          </w:p>
        </w:tc>
        <w:tc>
          <w:tcPr>
            <w:tcW w:w="1003" w:type="pct"/>
            <w:shd w:val="clear" w:color="auto" w:fill="auto"/>
            <w:tcMar>
              <w:top w:w="69" w:type="dxa"/>
              <w:left w:w="69" w:type="dxa"/>
              <w:bottom w:w="69" w:type="dxa"/>
              <w:right w:w="69" w:type="dxa"/>
            </w:tcMar>
            <w:vAlign w:val="center"/>
          </w:tcPr>
          <w:p w14:paraId="2A178806">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12～15</w:t>
            </w:r>
          </w:p>
        </w:tc>
        <w:tc>
          <w:tcPr>
            <w:tcW w:w="1115" w:type="pct"/>
            <w:shd w:val="clear" w:color="auto" w:fill="auto"/>
            <w:tcMar>
              <w:top w:w="69" w:type="dxa"/>
              <w:left w:w="69" w:type="dxa"/>
              <w:bottom w:w="69" w:type="dxa"/>
              <w:right w:w="69" w:type="dxa"/>
            </w:tcMar>
            <w:vAlign w:val="center"/>
          </w:tcPr>
          <w:p w14:paraId="24091A5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19.5</w:t>
            </w:r>
          </w:p>
        </w:tc>
        <w:tc>
          <w:tcPr>
            <w:tcW w:w="620" w:type="pct"/>
            <w:shd w:val="clear" w:color="auto" w:fill="auto"/>
            <w:tcMar>
              <w:top w:w="69" w:type="dxa"/>
              <w:left w:w="69" w:type="dxa"/>
              <w:bottom w:w="69" w:type="dxa"/>
              <w:right w:w="69" w:type="dxa"/>
            </w:tcMar>
            <w:vAlign w:val="center"/>
          </w:tcPr>
          <w:p w14:paraId="2F24B5BE">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偏弱</w:t>
            </w:r>
          </w:p>
        </w:tc>
      </w:tr>
      <w:tr w14:paraId="2D766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1144" w:type="pct"/>
            <w:shd w:val="clear" w:color="auto" w:fill="auto"/>
            <w:tcMar>
              <w:top w:w="69" w:type="dxa"/>
              <w:left w:w="69" w:type="dxa"/>
              <w:bottom w:w="69" w:type="dxa"/>
              <w:right w:w="69" w:type="dxa"/>
            </w:tcMar>
            <w:vAlign w:val="center"/>
          </w:tcPr>
          <w:p w14:paraId="54C6C1B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≥5（规程标准）</w:t>
            </w:r>
          </w:p>
        </w:tc>
        <w:tc>
          <w:tcPr>
            <w:tcW w:w="1115" w:type="pct"/>
            <w:shd w:val="clear" w:color="auto" w:fill="auto"/>
            <w:tcMar>
              <w:top w:w="69" w:type="dxa"/>
              <w:left w:w="69" w:type="dxa"/>
              <w:bottom w:w="69" w:type="dxa"/>
              <w:right w:w="69" w:type="dxa"/>
            </w:tcMar>
            <w:vAlign w:val="center"/>
          </w:tcPr>
          <w:p w14:paraId="30DB865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92.1</w:t>
            </w:r>
          </w:p>
        </w:tc>
        <w:tc>
          <w:tcPr>
            <w:tcW w:w="1003" w:type="pct"/>
            <w:shd w:val="clear" w:color="auto" w:fill="auto"/>
            <w:tcMar>
              <w:top w:w="69" w:type="dxa"/>
              <w:left w:w="69" w:type="dxa"/>
              <w:bottom w:w="69" w:type="dxa"/>
              <w:right w:w="69" w:type="dxa"/>
            </w:tcMar>
            <w:vAlign w:val="center"/>
          </w:tcPr>
          <w:p w14:paraId="42CF861F">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7～10</w:t>
            </w:r>
          </w:p>
        </w:tc>
        <w:tc>
          <w:tcPr>
            <w:tcW w:w="1115" w:type="pct"/>
            <w:shd w:val="clear" w:color="auto" w:fill="auto"/>
            <w:tcMar>
              <w:top w:w="69" w:type="dxa"/>
              <w:left w:w="69" w:type="dxa"/>
              <w:bottom w:w="69" w:type="dxa"/>
              <w:right w:w="69" w:type="dxa"/>
            </w:tcMar>
            <w:vAlign w:val="center"/>
          </w:tcPr>
          <w:p w14:paraId="0FD41D80">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3.8</w:t>
            </w:r>
          </w:p>
        </w:tc>
        <w:tc>
          <w:tcPr>
            <w:tcW w:w="620" w:type="pct"/>
            <w:shd w:val="clear" w:color="auto" w:fill="auto"/>
            <w:tcMar>
              <w:top w:w="69" w:type="dxa"/>
              <w:left w:w="69" w:type="dxa"/>
              <w:bottom w:w="69" w:type="dxa"/>
              <w:right w:w="69" w:type="dxa"/>
            </w:tcMar>
            <w:vAlign w:val="center"/>
          </w:tcPr>
          <w:p w14:paraId="50BEC2CE">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合格</w:t>
            </w:r>
          </w:p>
        </w:tc>
      </w:tr>
      <w:tr w14:paraId="219C4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jc w:val="center"/>
        </w:trPr>
        <w:tc>
          <w:tcPr>
            <w:tcW w:w="1144" w:type="pct"/>
            <w:shd w:val="clear" w:color="auto" w:fill="auto"/>
            <w:tcMar>
              <w:top w:w="69" w:type="dxa"/>
              <w:left w:w="69" w:type="dxa"/>
              <w:bottom w:w="69" w:type="dxa"/>
              <w:right w:w="69" w:type="dxa"/>
            </w:tcMar>
            <w:vAlign w:val="center"/>
          </w:tcPr>
          <w:p w14:paraId="025932CC">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w:t>
            </w:r>
          </w:p>
        </w:tc>
        <w:tc>
          <w:tcPr>
            <w:tcW w:w="1115" w:type="pct"/>
            <w:shd w:val="clear" w:color="auto" w:fill="auto"/>
            <w:tcMar>
              <w:top w:w="69" w:type="dxa"/>
              <w:left w:w="69" w:type="dxa"/>
              <w:bottom w:w="69" w:type="dxa"/>
              <w:right w:w="69" w:type="dxa"/>
            </w:tcMar>
            <w:vAlign w:val="center"/>
          </w:tcPr>
          <w:p w14:paraId="5E6700C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93.4</w:t>
            </w:r>
          </w:p>
        </w:tc>
        <w:tc>
          <w:tcPr>
            <w:tcW w:w="1003" w:type="pct"/>
            <w:shd w:val="clear" w:color="auto" w:fill="auto"/>
            <w:tcMar>
              <w:top w:w="69" w:type="dxa"/>
              <w:left w:w="69" w:type="dxa"/>
              <w:bottom w:w="69" w:type="dxa"/>
              <w:right w:w="69" w:type="dxa"/>
            </w:tcMar>
            <w:vAlign w:val="center"/>
          </w:tcPr>
          <w:p w14:paraId="1A0A6811">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6～9</w:t>
            </w:r>
          </w:p>
        </w:tc>
        <w:tc>
          <w:tcPr>
            <w:tcW w:w="1115" w:type="pct"/>
            <w:shd w:val="clear" w:color="auto" w:fill="auto"/>
            <w:tcMar>
              <w:top w:w="69" w:type="dxa"/>
              <w:left w:w="69" w:type="dxa"/>
              <w:bottom w:w="69" w:type="dxa"/>
              <w:right w:w="69" w:type="dxa"/>
            </w:tcMar>
            <w:vAlign w:val="center"/>
          </w:tcPr>
          <w:p w14:paraId="46E42A83">
            <w:pPr>
              <w:keepNext w:val="0"/>
              <w:keepLines w:val="0"/>
              <w:widowControl/>
              <w:suppressLineNumbers w:val="0"/>
              <w:spacing w:before="0" w:beforeAutospacing="0" w:after="0" w:afterAutospacing="0"/>
              <w:ind w:left="0" w:right="0"/>
              <w:jc w:val="center"/>
              <w:rPr>
                <w:rFonts w:hint="default"/>
                <w:caps w:val="0"/>
                <w:spacing w:val="0"/>
              </w:rPr>
            </w:pPr>
            <w:r>
              <w:rPr>
                <w:rFonts w:hint="default" w:ascii="宋体" w:hAnsi="宋体" w:eastAsia="宋体" w:cs="宋体"/>
                <w:caps w:val="0"/>
                <w:spacing w:val="0"/>
                <w:kern w:val="0"/>
                <w:sz w:val="24"/>
                <w:szCs w:val="24"/>
                <w:lang w:val="en-US" w:eastAsia="zh-CN" w:bidi="ar"/>
              </w:rPr>
              <w:t>2.4</w:t>
            </w:r>
          </w:p>
        </w:tc>
        <w:tc>
          <w:tcPr>
            <w:tcW w:w="620" w:type="pct"/>
            <w:shd w:val="clear" w:color="auto" w:fill="auto"/>
            <w:tcMar>
              <w:top w:w="69" w:type="dxa"/>
              <w:left w:w="69" w:type="dxa"/>
              <w:bottom w:w="69" w:type="dxa"/>
              <w:right w:w="69" w:type="dxa"/>
            </w:tcMar>
            <w:vAlign w:val="center"/>
          </w:tcPr>
          <w:p w14:paraId="48EF96D7">
            <w:pPr>
              <w:keepNext w:val="0"/>
              <w:keepLines w:val="0"/>
              <w:widowControl/>
              <w:suppressLineNumbers w:val="0"/>
              <w:spacing w:before="0" w:beforeAutospacing="0" w:after="0" w:afterAutospacing="0"/>
              <w:ind w:left="0" w:right="0"/>
              <w:jc w:val="left"/>
              <w:rPr>
                <w:rFonts w:hint="default"/>
                <w:caps w:val="0"/>
                <w:spacing w:val="0"/>
              </w:rPr>
            </w:pPr>
            <w:r>
              <w:rPr>
                <w:rFonts w:hint="default" w:ascii="宋体" w:hAnsi="宋体" w:eastAsia="宋体" w:cs="宋体"/>
                <w:caps w:val="0"/>
                <w:spacing w:val="0"/>
                <w:kern w:val="0"/>
                <w:sz w:val="24"/>
                <w:szCs w:val="24"/>
                <w:lang w:val="en-US" w:eastAsia="zh-CN" w:bidi="ar"/>
              </w:rPr>
              <w:t>优良</w:t>
            </w:r>
          </w:p>
        </w:tc>
      </w:tr>
    </w:tbl>
    <w:p w14:paraId="6E4408E9">
      <w:pPr>
        <w:pStyle w:val="15"/>
        <w:numPr>
          <w:ilvl w:val="0"/>
          <w:numId w:val="0"/>
        </w:numPr>
        <w:tabs>
          <w:tab w:val="left" w:pos="2426"/>
        </w:tabs>
        <w:spacing w:line="560" w:lineRule="exact"/>
        <w:ind w:left="0" w:firstLine="640" w:firstLineChars="200"/>
        <w:outlineLvl w:val="1"/>
        <w:rPr>
          <w:rFonts w:hint="eastAsia" w:eastAsia="仿宋_GB2312"/>
          <w:color w:val="auto"/>
          <w:lang w:eastAsia="zh-CN"/>
        </w:rPr>
      </w:pPr>
      <w:r>
        <w:rPr>
          <w:rFonts w:hint="eastAsia" w:eastAsia="仿宋_GB2312"/>
          <w:color w:val="auto"/>
        </w:rPr>
        <w:t>广西林业科学研究院</w:t>
      </w:r>
      <w:r>
        <w:rPr>
          <w:rFonts w:hint="eastAsia" w:eastAsia="仿宋_GB2312"/>
          <w:color w:val="auto"/>
          <w:lang w:eastAsia="zh-CN"/>
        </w:rPr>
        <w:t>、</w:t>
      </w:r>
      <w:r>
        <w:rPr>
          <w:rFonts w:hint="eastAsia" w:eastAsia="仿宋_GB2312"/>
          <w:color w:val="auto"/>
          <w:lang w:val="en-US" w:eastAsia="zh-CN"/>
        </w:rPr>
        <w:t>南宁林科所</w:t>
      </w:r>
      <w:r>
        <w:rPr>
          <w:rFonts w:hint="eastAsia" w:eastAsia="仿宋_GB2312"/>
          <w:color w:val="auto"/>
        </w:rPr>
        <w:t>麻竹移栽试验</w:t>
      </w:r>
      <w:r>
        <w:rPr>
          <w:rFonts w:hint="eastAsia" w:eastAsia="仿宋_GB2312"/>
          <w:color w:val="auto"/>
          <w:lang w:eastAsia="zh-CN"/>
        </w:rPr>
        <w:t>：</w:t>
      </w:r>
      <w:r>
        <w:rPr>
          <w:rFonts w:hint="eastAsia" w:eastAsia="仿宋_GB2312"/>
          <w:color w:val="auto"/>
        </w:rPr>
        <w:t>地径≥1.5 cm、苗高≥50 cm的1年生地苗，移栽成活率≥90%，低于该指标成活率不足70%；带5张以上新叶的容器苗，移栽成活率较叶片稀少苗提升35%以上；春季2～3月起苗移栽成活率较其他季节高20%～40%。生产上兼顾成活率、成本、建园效果的最低合格阈值</w:t>
      </w:r>
      <w:r>
        <w:rPr>
          <w:rFonts w:hint="eastAsia" w:eastAsia="仿宋_GB2312"/>
          <w:color w:val="auto"/>
          <w:lang w:eastAsia="zh-CN"/>
        </w:rPr>
        <w:t>，</w:t>
      </w:r>
      <w:r>
        <w:rPr>
          <w:rFonts w:hint="eastAsia" w:eastAsia="仿宋_GB2312"/>
          <w:color w:val="auto"/>
        </w:rPr>
        <w:t>低于指标的种苗移栽成活率大幅下降，缓苗慢、易黄化枯死，无法满足老友粉原料林建园要求</w:t>
      </w:r>
      <w:r>
        <w:rPr>
          <w:rFonts w:hint="eastAsia" w:eastAsia="仿宋_GB2312"/>
          <w:color w:val="auto"/>
          <w:lang w:eastAsia="zh-CN"/>
        </w:rPr>
        <w:t>。</w:t>
      </w:r>
    </w:p>
    <w:p w14:paraId="5FE97CE9">
      <w:pPr>
        <w:numPr>
          <w:ilvl w:val="0"/>
          <w:numId w:val="2"/>
        </w:numPr>
        <w:overflowPunct w:val="0"/>
        <w:topLinePunct/>
        <w:spacing w:line="560" w:lineRule="exact"/>
        <w:ind w:firstLine="448" w:firstLineChars="140"/>
        <w:outlineLvl w:val="0"/>
        <w:rPr>
          <w:rFonts w:eastAsia="黑体"/>
          <w:bCs/>
          <w:color w:val="auto"/>
          <w:sz w:val="32"/>
          <w:szCs w:val="32"/>
        </w:rPr>
      </w:pPr>
      <w:r>
        <w:rPr>
          <w:rFonts w:hint="eastAsia" w:eastAsia="黑体"/>
          <w:bCs/>
          <w:color w:val="auto"/>
          <w:sz w:val="32"/>
          <w:szCs w:val="32"/>
        </w:rPr>
        <w:t>重大意见分歧的处理依据和结果</w:t>
      </w:r>
    </w:p>
    <w:p w14:paraId="1B69ED55">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本标准研制过程中无重大分歧意见。</w:t>
      </w:r>
    </w:p>
    <w:p w14:paraId="49C2A4EE">
      <w:pPr>
        <w:numPr>
          <w:ilvl w:val="0"/>
          <w:numId w:val="2"/>
        </w:numPr>
        <w:overflowPunct w:val="0"/>
        <w:topLinePunct/>
        <w:spacing w:line="560" w:lineRule="exact"/>
        <w:ind w:left="600"/>
        <w:outlineLvl w:val="0"/>
        <w:rPr>
          <w:rFonts w:eastAsia="黑体"/>
          <w:bCs/>
          <w:color w:val="auto"/>
          <w:sz w:val="32"/>
          <w:szCs w:val="32"/>
        </w:rPr>
      </w:pPr>
      <w:r>
        <w:rPr>
          <w:rFonts w:hint="eastAsia" w:eastAsia="黑体"/>
          <w:bCs/>
          <w:color w:val="auto"/>
          <w:sz w:val="32"/>
          <w:szCs w:val="32"/>
        </w:rPr>
        <w:t>实施标准的措施</w:t>
      </w:r>
    </w:p>
    <w:p w14:paraId="4B3E0A23">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（一）标准报批发布后，成立标准宣贯工作组</w:t>
      </w:r>
    </w:p>
    <w:p w14:paraId="2617CC17">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本标准发布后，成立以标准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79FD4CFE">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（二）组织开展标准宣贯培训</w:t>
      </w:r>
    </w:p>
    <w:p w14:paraId="057FA6C9">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标准发布实施后，标准宣贯工作小组制作标准解读宣贯培训PPT课件和标准核心技术明白书，并按标准宣贯培训计划深入各市县南宁老友粉原料竹笋</w:t>
      </w:r>
      <w:r>
        <w:rPr>
          <w:rFonts w:hint="eastAsia" w:ascii="仿宋_GB2312" w:eastAsia="仿宋_GB2312"/>
          <w:bCs/>
          <w:color w:val="auto"/>
          <w:sz w:val="32"/>
          <w:szCs w:val="32"/>
          <w:lang w:val="en-US" w:eastAsia="zh-CN"/>
        </w:rPr>
        <w:t>种苗</w:t>
      </w:r>
      <w:r>
        <w:rPr>
          <w:rFonts w:hint="eastAsia" w:ascii="仿宋_GB2312" w:eastAsia="仿宋_GB2312"/>
          <w:bCs/>
          <w:color w:val="auto"/>
          <w:sz w:val="32"/>
          <w:szCs w:val="32"/>
        </w:rPr>
        <w:t>基地</w:t>
      </w:r>
      <w:r>
        <w:rPr>
          <w:rFonts w:hint="eastAsia" w:ascii="仿宋_GB2312" w:eastAsia="仿宋_GB2312"/>
          <w:bCs/>
          <w:color w:val="auto"/>
          <w:sz w:val="32"/>
          <w:szCs w:val="32"/>
          <w:lang w:eastAsia="zh-CN"/>
        </w:rPr>
        <w:t>、</w:t>
      </w:r>
      <w:r>
        <w:rPr>
          <w:rFonts w:hint="eastAsia" w:ascii="仿宋_GB2312" w:eastAsia="仿宋_GB2312"/>
          <w:bCs/>
          <w:color w:val="auto"/>
          <w:sz w:val="32"/>
          <w:szCs w:val="32"/>
        </w:rPr>
        <w:t>企业等开展标准宣贯培训，对标准进行逐条解读，让南宁老友粉原料竹笋种植的管理人员和相关技术人员掌握标准核心技术内容，助力标准实施落地，推动南宁老友粉</w:t>
      </w:r>
      <w:r>
        <w:rPr>
          <w:rFonts w:ascii="仿宋_GB2312" w:eastAsia="仿宋_GB2312"/>
          <w:bCs/>
          <w:color w:val="auto"/>
          <w:sz w:val="32"/>
          <w:szCs w:val="32"/>
        </w:rPr>
        <w:t>产业</w:t>
      </w:r>
      <w:r>
        <w:rPr>
          <w:rFonts w:hint="eastAsia" w:ascii="仿宋_GB2312" w:eastAsia="仿宋_GB2312"/>
          <w:bCs/>
          <w:color w:val="auto"/>
          <w:sz w:val="32"/>
          <w:szCs w:val="32"/>
        </w:rPr>
        <w:t>高质量发展。</w:t>
      </w:r>
    </w:p>
    <w:p w14:paraId="0D2E1FE6">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（三）开展标准实施交流会，收集标准实施反馈信息</w:t>
      </w:r>
    </w:p>
    <w:p w14:paraId="3D8A7AD8">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标准起草小组深入各市县南宁老友粉竹笋生产基地、加工企业的管理人员和相关技术人员召开标准实施交流会，听取标准实施过程中存在的问题并做好记录和解答，对存在的问题组织专家团队进行研讨，为标准的复审修订做准备。</w:t>
      </w:r>
    </w:p>
    <w:p w14:paraId="04978478">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（四）开展标准实施效果评估</w:t>
      </w:r>
    </w:p>
    <w:p w14:paraId="43C19475">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7469346D">
      <w:pPr>
        <w:numPr>
          <w:ilvl w:val="0"/>
          <w:numId w:val="2"/>
        </w:numPr>
        <w:overflowPunct w:val="0"/>
        <w:topLinePunct/>
        <w:spacing w:line="560" w:lineRule="exact"/>
        <w:ind w:left="600"/>
        <w:outlineLvl w:val="0"/>
        <w:rPr>
          <w:rFonts w:eastAsia="黑体"/>
          <w:bCs/>
          <w:color w:val="auto"/>
          <w:sz w:val="32"/>
          <w:szCs w:val="32"/>
        </w:rPr>
      </w:pPr>
      <w:r>
        <w:rPr>
          <w:rFonts w:hint="eastAsia" w:eastAsia="黑体"/>
          <w:bCs/>
          <w:color w:val="auto"/>
          <w:sz w:val="32"/>
          <w:szCs w:val="32"/>
        </w:rPr>
        <w:t>其他应当说明的事项</w:t>
      </w:r>
    </w:p>
    <w:p w14:paraId="030D3755">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lang w:val="zh-CN"/>
        </w:rPr>
        <w:t>无。</w:t>
      </w:r>
    </w:p>
    <w:p w14:paraId="2D106390">
      <w:pPr>
        <w:overflowPunct w:val="0"/>
        <w:topLinePunct/>
        <w:spacing w:line="560" w:lineRule="exact"/>
        <w:ind w:firstLine="640"/>
        <w:rPr>
          <w:rFonts w:eastAsia="仿宋_GB2312"/>
          <w:color w:val="auto"/>
          <w:sz w:val="32"/>
          <w:szCs w:val="32"/>
        </w:rPr>
      </w:pPr>
    </w:p>
    <w:p w14:paraId="6A4518B2">
      <w:pPr>
        <w:overflowPunct w:val="0"/>
        <w:topLinePunct/>
        <w:spacing w:line="560" w:lineRule="exact"/>
        <w:jc w:val="center"/>
        <w:rPr>
          <w:rFonts w:eastAsia="仿宋_GB2312"/>
          <w:color w:val="auto"/>
          <w:sz w:val="32"/>
          <w:szCs w:val="32"/>
        </w:rPr>
      </w:pPr>
      <w:r>
        <w:rPr>
          <w:rFonts w:hint="eastAsia" w:eastAsia="仿宋_GB2312"/>
          <w:color w:val="auto"/>
          <w:sz w:val="32"/>
          <w:szCs w:val="32"/>
        </w:rPr>
        <w:t xml:space="preserve">                 团体标准《</w:t>
      </w:r>
      <w:r>
        <w:rPr>
          <w:rFonts w:hint="eastAsia" w:eastAsia="仿宋_GB2312"/>
          <w:color w:val="auto"/>
          <w:sz w:val="32"/>
          <w:szCs w:val="32"/>
          <w:lang w:eastAsia="zh-CN"/>
        </w:rPr>
        <w:t>南宁老友粉原料  竹笋种苗繁育技术规程</w:t>
      </w:r>
      <w:r>
        <w:rPr>
          <w:rFonts w:hint="eastAsia" w:eastAsia="仿宋_GB2312"/>
          <w:color w:val="auto"/>
          <w:sz w:val="32"/>
          <w:szCs w:val="32"/>
        </w:rPr>
        <w:t>》标准编制工作组</w:t>
      </w:r>
    </w:p>
    <w:p w14:paraId="77D14F95">
      <w:pPr>
        <w:overflowPunct w:val="0"/>
        <w:topLinePunct/>
        <w:jc w:val="center"/>
        <w:rPr>
          <w:rFonts w:hint="eastAsia" w:ascii="宋体" w:hAnsi="宋体"/>
          <w:b/>
          <w:bCs/>
          <w:color w:val="auto"/>
          <w:sz w:val="30"/>
          <w:szCs w:val="30"/>
        </w:rPr>
      </w:pPr>
      <w:r>
        <w:rPr>
          <w:rFonts w:hint="eastAsia" w:eastAsia="仿宋_GB2312"/>
          <w:color w:val="auto"/>
          <w:sz w:val="32"/>
          <w:szCs w:val="32"/>
        </w:rPr>
        <w:t xml:space="preserve">                  202</w:t>
      </w:r>
      <w:r>
        <w:rPr>
          <w:rFonts w:hint="eastAsia" w:eastAsia="仿宋_GB2312"/>
          <w:color w:val="auto"/>
          <w:sz w:val="32"/>
          <w:szCs w:val="32"/>
          <w:lang w:val="en-US" w:eastAsia="zh-CN"/>
        </w:rPr>
        <w:t>6</w:t>
      </w:r>
      <w:r>
        <w:rPr>
          <w:rFonts w:hint="eastAsia" w:eastAsia="仿宋_GB2312"/>
          <w:color w:val="auto"/>
          <w:sz w:val="32"/>
          <w:szCs w:val="32"/>
        </w:rPr>
        <w:t>年</w:t>
      </w:r>
      <w:r>
        <w:rPr>
          <w:rFonts w:hint="eastAsia" w:eastAsia="仿宋_GB2312"/>
          <w:color w:val="auto"/>
          <w:sz w:val="32"/>
          <w:szCs w:val="32"/>
          <w:lang w:val="en-US" w:eastAsia="zh-CN"/>
        </w:rPr>
        <w:t>3</w:t>
      </w:r>
      <w:r>
        <w:rPr>
          <w:rFonts w:hint="eastAsia" w:eastAsia="仿宋_GB2312"/>
          <w:color w:val="auto"/>
          <w:sz w:val="32"/>
          <w:szCs w:val="32"/>
        </w:rPr>
        <w:t>月</w:t>
      </w:r>
      <w:r>
        <w:rPr>
          <w:rFonts w:hint="eastAsia" w:eastAsia="仿宋_GB2312"/>
          <w:color w:val="auto"/>
          <w:sz w:val="32"/>
          <w:szCs w:val="32"/>
          <w:lang w:val="en-US" w:eastAsia="zh-CN"/>
        </w:rPr>
        <w:t>27</w:t>
      </w:r>
      <w:r>
        <w:rPr>
          <w:rFonts w:hint="eastAsia" w:eastAsia="仿宋_GB2312"/>
          <w:color w:val="auto"/>
          <w:sz w:val="32"/>
          <w:szCs w:val="32"/>
        </w:rPr>
        <w:t>日</w:t>
      </w:r>
    </w:p>
    <w:p w14:paraId="33E70F0D">
      <w:pPr>
        <w:rPr>
          <w:rFonts w:hint="eastAsia" w:ascii="宋体" w:hAnsi="宋体"/>
          <w:b/>
          <w:bCs/>
          <w:color w:val="auto"/>
          <w:sz w:val="30"/>
          <w:szCs w:val="30"/>
        </w:rPr>
      </w:pPr>
    </w:p>
    <w:sectPr>
      <w:type w:val="continuous"/>
      <w:pgSz w:w="11906" w:h="16838"/>
      <w:pgMar w:top="1474" w:right="1800" w:bottom="1474"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5F5ACB7A-43F8-4809-BD7A-F7C0BCF40E4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73227049-4A5D-4D01-9877-8B99E678D614}"/>
  </w:font>
  <w:font w:name="方正小标宋简体">
    <w:panose1 w:val="02000000000000000000"/>
    <w:charset w:val="86"/>
    <w:family w:val="auto"/>
    <w:pitch w:val="default"/>
    <w:sig w:usb0="00000001" w:usb1="080E0000" w:usb2="00000000" w:usb3="00000000" w:csb0="00040000" w:csb1="00000000"/>
    <w:embedRegular r:id="rId3" w:fontKey="{B31F7220-4B01-4EF0-843A-2742F92EB73E}"/>
  </w:font>
  <w:font w:name="仿宋_GB2312">
    <w:panose1 w:val="02010609030101010101"/>
    <w:charset w:val="86"/>
    <w:family w:val="modern"/>
    <w:pitch w:val="default"/>
    <w:sig w:usb0="00000001" w:usb1="080E0000" w:usb2="00000000" w:usb3="00000000" w:csb0="00040000" w:csb1="00000000"/>
    <w:embedRegular r:id="rId4" w:fontKey="{A87BFE38-1DFA-4093-86AE-2205E4E65BA2}"/>
  </w:font>
  <w:font w:name="楷体">
    <w:panose1 w:val="02010609060101010101"/>
    <w:charset w:val="86"/>
    <w:family w:val="modern"/>
    <w:pitch w:val="default"/>
    <w:sig w:usb0="800002BF" w:usb1="38CF7CFA" w:usb2="00000016" w:usb3="00000000" w:csb0="00040001" w:csb1="00000000"/>
    <w:embedRegular r:id="rId5" w:fontKey="{EBBA2C39-8F6B-4185-A561-B1BC9140B66C}"/>
  </w:font>
  <w:font w:name="楷体_GB2312">
    <w:panose1 w:val="02010609030101010101"/>
    <w:charset w:val="86"/>
    <w:family w:val="modern"/>
    <w:pitch w:val="default"/>
    <w:sig w:usb0="00000001" w:usb1="080E0000" w:usb2="00000000" w:usb3="00000000" w:csb0="00040000" w:csb1="00000000"/>
    <w:embedRegular r:id="rId6" w:fontKey="{4BA7B369-7E1A-423F-8944-15297736EBA9}"/>
  </w:font>
  <w:font w:name="WPSEMBED1">
    <w:panose1 w:val="02010609030101010101"/>
    <w:charset w:val="86"/>
    <w:family w:val="auto"/>
    <w:pitch w:val="default"/>
    <w:sig w:usb0="00000001" w:usb1="080E0000" w:usb2="00000000" w:usb3="00000000" w:csb0="00040000" w:csb1="00000000"/>
  </w:font>
  <w:font w:name="WPSEMBED2">
    <w:panose1 w:val="02010609030101010101"/>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3510058"/>
    </w:sdtPr>
    <w:sdtContent>
      <w:p w14:paraId="32162BEF">
        <w:pPr>
          <w:pStyle w:val="7"/>
          <w:jc w:val="center"/>
        </w:pPr>
        <w:r>
          <w:fldChar w:fldCharType="begin"/>
        </w:r>
        <w:r>
          <w:instrText xml:space="preserve">PAGE   \* MERGEFORMAT</w:instrText>
        </w:r>
        <w:r>
          <w:fldChar w:fldCharType="separate"/>
        </w:r>
        <w:r>
          <w:rPr>
            <w:lang w:val="zh-CN"/>
          </w:rPr>
          <w:t>2</w:t>
        </w:r>
        <w:r>
          <w:fldChar w:fldCharType="end"/>
        </w:r>
      </w:p>
    </w:sdtContent>
  </w:sdt>
  <w:p w14:paraId="17A039A2">
    <w:pPr>
      <w:pStyle w:val="7"/>
    </w:pPr>
  </w:p>
  <w:p w14:paraId="78CFAC1A"/>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40CA90"/>
    <w:multiLevelType w:val="singleLevel"/>
    <w:tmpl w:val="9040CA90"/>
    <w:lvl w:ilvl="0" w:tentative="0">
      <w:start w:val="1"/>
      <w:numFmt w:val="chineseCounting"/>
      <w:suff w:val="nothing"/>
      <w:lvlText w:val="%1、"/>
      <w:lvlJc w:val="left"/>
      <w:pPr>
        <w:tabs>
          <w:tab w:val="left" w:pos="0"/>
        </w:tabs>
        <w:ind w:left="150"/>
      </w:pPr>
      <w:rPr>
        <w:rFonts w:hint="eastAsia"/>
      </w:rPr>
    </w:lvl>
  </w:abstractNum>
  <w:abstractNum w:abstractNumId="1">
    <w:nsid w:val="4817A397"/>
    <w:multiLevelType w:val="singleLevel"/>
    <w:tmpl w:val="4817A397"/>
    <w:lvl w:ilvl="0" w:tentative="0">
      <w:start w:val="1"/>
      <w:numFmt w:val="chineseCounting"/>
      <w:suff w:val="nothing"/>
      <w:lvlText w:val="（%1）"/>
      <w:lvlJc w:val="left"/>
      <w:pPr>
        <w:ind w:left="300"/>
      </w:pPr>
      <w:rPr>
        <w:rFonts w:hint="eastAsia"/>
      </w:rPr>
    </w:lvl>
  </w:abstractNum>
  <w:abstractNum w:abstractNumId="2">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8"/>
      <w:suff w:val="nothing"/>
      <w:lvlText w:val="%1%2　"/>
      <w:lvlJc w:val="left"/>
      <w:pPr>
        <w:ind w:left="1277" w:firstLine="0"/>
      </w:pPr>
      <w:rPr>
        <w:rFonts w:hint="eastAsia" w:ascii="黑体" w:eastAsia="黑体"/>
        <w:b w:val="0"/>
        <w:i w:val="0"/>
        <w:sz w:val="21"/>
      </w:rPr>
    </w:lvl>
    <w:lvl w:ilvl="2" w:tentative="0">
      <w:start w:val="1"/>
      <w:numFmt w:val="decimal"/>
      <w:pStyle w:val="19"/>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32"/>
      <w:suff w:val="nothing"/>
      <w:lvlText w:val="%1%2.%3.%4　"/>
      <w:lvlJc w:val="left"/>
      <w:pPr>
        <w:ind w:left="567"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IwMWM2OGNjYmU4NTFlMTllYWNiZDQ3ZGI3OTk1MGMifQ=="/>
  </w:docVars>
  <w:rsids>
    <w:rsidRoot w:val="004B3BAA"/>
    <w:rsid w:val="000201E8"/>
    <w:rsid w:val="0002623B"/>
    <w:rsid w:val="0003164D"/>
    <w:rsid w:val="0005098D"/>
    <w:rsid w:val="000673E6"/>
    <w:rsid w:val="00086C03"/>
    <w:rsid w:val="000874C3"/>
    <w:rsid w:val="000C07EA"/>
    <w:rsid w:val="000D046F"/>
    <w:rsid w:val="000E0009"/>
    <w:rsid w:val="000F7DFC"/>
    <w:rsid w:val="001220F8"/>
    <w:rsid w:val="0013492F"/>
    <w:rsid w:val="00134A0F"/>
    <w:rsid w:val="0016317C"/>
    <w:rsid w:val="00175F58"/>
    <w:rsid w:val="0018254B"/>
    <w:rsid w:val="001E64BD"/>
    <w:rsid w:val="00221D41"/>
    <w:rsid w:val="002B5406"/>
    <w:rsid w:val="002D2D19"/>
    <w:rsid w:val="002D3FC3"/>
    <w:rsid w:val="002D6FFF"/>
    <w:rsid w:val="002F7696"/>
    <w:rsid w:val="00354C03"/>
    <w:rsid w:val="00355651"/>
    <w:rsid w:val="00362EBA"/>
    <w:rsid w:val="00367D4E"/>
    <w:rsid w:val="00367DC2"/>
    <w:rsid w:val="003A1EF7"/>
    <w:rsid w:val="003C5604"/>
    <w:rsid w:val="003D0813"/>
    <w:rsid w:val="00406244"/>
    <w:rsid w:val="00421E56"/>
    <w:rsid w:val="00426395"/>
    <w:rsid w:val="00436712"/>
    <w:rsid w:val="004831F7"/>
    <w:rsid w:val="004972B4"/>
    <w:rsid w:val="004A2D55"/>
    <w:rsid w:val="004B195E"/>
    <w:rsid w:val="004B3BAA"/>
    <w:rsid w:val="004D3EF1"/>
    <w:rsid w:val="004D4E56"/>
    <w:rsid w:val="004F42C8"/>
    <w:rsid w:val="004F7FA0"/>
    <w:rsid w:val="00510CC1"/>
    <w:rsid w:val="00523FC7"/>
    <w:rsid w:val="0053221A"/>
    <w:rsid w:val="00532C8C"/>
    <w:rsid w:val="00544CFC"/>
    <w:rsid w:val="00553D54"/>
    <w:rsid w:val="0057664B"/>
    <w:rsid w:val="005A69BD"/>
    <w:rsid w:val="005B1031"/>
    <w:rsid w:val="00671380"/>
    <w:rsid w:val="00671B27"/>
    <w:rsid w:val="00694BE5"/>
    <w:rsid w:val="0069736E"/>
    <w:rsid w:val="006E0284"/>
    <w:rsid w:val="006E091C"/>
    <w:rsid w:val="006E346D"/>
    <w:rsid w:val="00701455"/>
    <w:rsid w:val="00752513"/>
    <w:rsid w:val="00760595"/>
    <w:rsid w:val="00760D66"/>
    <w:rsid w:val="00785835"/>
    <w:rsid w:val="007A07E8"/>
    <w:rsid w:val="007A4CB7"/>
    <w:rsid w:val="007C7D2A"/>
    <w:rsid w:val="007F7CC5"/>
    <w:rsid w:val="0080535C"/>
    <w:rsid w:val="00811617"/>
    <w:rsid w:val="0081272A"/>
    <w:rsid w:val="008416BF"/>
    <w:rsid w:val="00852518"/>
    <w:rsid w:val="008A7BD2"/>
    <w:rsid w:val="008D09D0"/>
    <w:rsid w:val="00977440"/>
    <w:rsid w:val="00984889"/>
    <w:rsid w:val="00996C5F"/>
    <w:rsid w:val="009B7FE2"/>
    <w:rsid w:val="009E0ACE"/>
    <w:rsid w:val="009E4EBB"/>
    <w:rsid w:val="009E5456"/>
    <w:rsid w:val="00A22F84"/>
    <w:rsid w:val="00A258B9"/>
    <w:rsid w:val="00A32432"/>
    <w:rsid w:val="00A32DDD"/>
    <w:rsid w:val="00A61082"/>
    <w:rsid w:val="00A77CB1"/>
    <w:rsid w:val="00AB1114"/>
    <w:rsid w:val="00AE187F"/>
    <w:rsid w:val="00AF68B2"/>
    <w:rsid w:val="00B25F6F"/>
    <w:rsid w:val="00B427BC"/>
    <w:rsid w:val="00B45219"/>
    <w:rsid w:val="00B55F00"/>
    <w:rsid w:val="00B64D9B"/>
    <w:rsid w:val="00BC1F78"/>
    <w:rsid w:val="00C32C5C"/>
    <w:rsid w:val="00C52781"/>
    <w:rsid w:val="00C63A6B"/>
    <w:rsid w:val="00C73CB3"/>
    <w:rsid w:val="00C94156"/>
    <w:rsid w:val="00CB18EA"/>
    <w:rsid w:val="00CB24A8"/>
    <w:rsid w:val="00CE02C4"/>
    <w:rsid w:val="00CE3A1E"/>
    <w:rsid w:val="00CE7251"/>
    <w:rsid w:val="00D2209B"/>
    <w:rsid w:val="00D51942"/>
    <w:rsid w:val="00D5225A"/>
    <w:rsid w:val="00D72E68"/>
    <w:rsid w:val="00DD345C"/>
    <w:rsid w:val="00DF03BD"/>
    <w:rsid w:val="00DF6F18"/>
    <w:rsid w:val="00E05B40"/>
    <w:rsid w:val="00E07E1F"/>
    <w:rsid w:val="00E202DA"/>
    <w:rsid w:val="00E6082F"/>
    <w:rsid w:val="00E7687A"/>
    <w:rsid w:val="00E87C5F"/>
    <w:rsid w:val="00E9151D"/>
    <w:rsid w:val="00E9493F"/>
    <w:rsid w:val="00EB402C"/>
    <w:rsid w:val="00F207B2"/>
    <w:rsid w:val="00F24A3A"/>
    <w:rsid w:val="00F35B7B"/>
    <w:rsid w:val="00F42D73"/>
    <w:rsid w:val="00F526A2"/>
    <w:rsid w:val="00F90AA1"/>
    <w:rsid w:val="00F968B0"/>
    <w:rsid w:val="00FD2421"/>
    <w:rsid w:val="00FD646C"/>
    <w:rsid w:val="034833B0"/>
    <w:rsid w:val="04E90670"/>
    <w:rsid w:val="06B31595"/>
    <w:rsid w:val="08295516"/>
    <w:rsid w:val="08C84D21"/>
    <w:rsid w:val="09E558C4"/>
    <w:rsid w:val="0A3E3315"/>
    <w:rsid w:val="0BBD163C"/>
    <w:rsid w:val="0C405504"/>
    <w:rsid w:val="0E0B67CB"/>
    <w:rsid w:val="0EDE34E7"/>
    <w:rsid w:val="11421D1E"/>
    <w:rsid w:val="1319085D"/>
    <w:rsid w:val="142E34B0"/>
    <w:rsid w:val="163F43DA"/>
    <w:rsid w:val="170461EB"/>
    <w:rsid w:val="173E0E10"/>
    <w:rsid w:val="17A111FD"/>
    <w:rsid w:val="17EC1836"/>
    <w:rsid w:val="1A222870"/>
    <w:rsid w:val="1C6D2903"/>
    <w:rsid w:val="1EA21346"/>
    <w:rsid w:val="1F8E7B35"/>
    <w:rsid w:val="1FF12682"/>
    <w:rsid w:val="224505A2"/>
    <w:rsid w:val="23D91976"/>
    <w:rsid w:val="26F7703F"/>
    <w:rsid w:val="2CF12CCC"/>
    <w:rsid w:val="2DCF3A11"/>
    <w:rsid w:val="2E6761C9"/>
    <w:rsid w:val="32742FD4"/>
    <w:rsid w:val="32921451"/>
    <w:rsid w:val="33B24EEB"/>
    <w:rsid w:val="34176890"/>
    <w:rsid w:val="344F0A55"/>
    <w:rsid w:val="362D721C"/>
    <w:rsid w:val="376A7EC8"/>
    <w:rsid w:val="37B84192"/>
    <w:rsid w:val="37FE303E"/>
    <w:rsid w:val="389B7680"/>
    <w:rsid w:val="38FB05C0"/>
    <w:rsid w:val="39F9378A"/>
    <w:rsid w:val="3EB763B3"/>
    <w:rsid w:val="4040012B"/>
    <w:rsid w:val="40B76A90"/>
    <w:rsid w:val="427654FD"/>
    <w:rsid w:val="42913E3D"/>
    <w:rsid w:val="449F2A1C"/>
    <w:rsid w:val="45193B1A"/>
    <w:rsid w:val="45D564FC"/>
    <w:rsid w:val="46EC5343"/>
    <w:rsid w:val="476D46F8"/>
    <w:rsid w:val="48A0211B"/>
    <w:rsid w:val="4A2470FB"/>
    <w:rsid w:val="4A3E4D64"/>
    <w:rsid w:val="4C51113D"/>
    <w:rsid w:val="4F2002A2"/>
    <w:rsid w:val="4F3A6B88"/>
    <w:rsid w:val="50990A0A"/>
    <w:rsid w:val="52804383"/>
    <w:rsid w:val="52987842"/>
    <w:rsid w:val="57D52F63"/>
    <w:rsid w:val="58AC1B63"/>
    <w:rsid w:val="597E5F7C"/>
    <w:rsid w:val="5986116A"/>
    <w:rsid w:val="5A8F2AAE"/>
    <w:rsid w:val="5B4B2413"/>
    <w:rsid w:val="5C9A643B"/>
    <w:rsid w:val="5E476F2E"/>
    <w:rsid w:val="5F6E40AC"/>
    <w:rsid w:val="5FBC1319"/>
    <w:rsid w:val="607E4FEC"/>
    <w:rsid w:val="60EB57D7"/>
    <w:rsid w:val="612C0848"/>
    <w:rsid w:val="66815499"/>
    <w:rsid w:val="680D069A"/>
    <w:rsid w:val="68157353"/>
    <w:rsid w:val="6A144E09"/>
    <w:rsid w:val="6B9C2A21"/>
    <w:rsid w:val="6CA65777"/>
    <w:rsid w:val="6E835161"/>
    <w:rsid w:val="6EBF1AED"/>
    <w:rsid w:val="6FB20070"/>
    <w:rsid w:val="722D2A5F"/>
    <w:rsid w:val="741B30AD"/>
    <w:rsid w:val="74EA05EB"/>
    <w:rsid w:val="75191674"/>
    <w:rsid w:val="752A53D8"/>
    <w:rsid w:val="754F00AF"/>
    <w:rsid w:val="76632955"/>
    <w:rsid w:val="76FE1881"/>
    <w:rsid w:val="78EA533E"/>
    <w:rsid w:val="7C4D79BF"/>
    <w:rsid w:val="7E2B337A"/>
    <w:rsid w:val="7E334745"/>
    <w:rsid w:val="7FC241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Theme="minorEastAsia" w:cstheme="minorBidi"/>
      <w:kern w:val="2"/>
      <w:sz w:val="15"/>
      <w:szCs w:val="15"/>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annotation text"/>
    <w:basedOn w:val="1"/>
    <w:unhideWhenUsed/>
    <w:qFormat/>
    <w:uiPriority w:val="99"/>
    <w:pPr>
      <w:jc w:val="left"/>
    </w:pPr>
  </w:style>
  <w:style w:type="paragraph" w:styleId="6">
    <w:name w:val="Balloon Text"/>
    <w:basedOn w:val="1"/>
    <w:link w:val="22"/>
    <w:qFormat/>
    <w:uiPriority w:val="0"/>
    <w:rPr>
      <w:sz w:val="18"/>
      <w:szCs w:val="18"/>
    </w:rPr>
  </w:style>
  <w:style w:type="paragraph" w:styleId="7">
    <w:name w:val="footer"/>
    <w:basedOn w:val="1"/>
    <w:link w:val="25"/>
    <w:qFormat/>
    <w:uiPriority w:val="99"/>
    <w:pPr>
      <w:tabs>
        <w:tab w:val="center" w:pos="4153"/>
        <w:tab w:val="right" w:pos="8306"/>
      </w:tabs>
      <w:snapToGrid w:val="0"/>
      <w:jc w:val="left"/>
    </w:pPr>
    <w:rPr>
      <w:sz w:val="18"/>
      <w:szCs w:val="18"/>
    </w:rPr>
  </w:style>
  <w:style w:type="paragraph" w:styleId="8">
    <w:name w:val="header"/>
    <w:basedOn w:val="1"/>
    <w:link w:val="21"/>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qFormat/>
    <w:uiPriority w:val="99"/>
    <w:pPr>
      <w:spacing w:before="100" w:beforeAutospacing="1" w:after="100" w:afterAutospacing="1"/>
      <w:jc w:val="left"/>
    </w:pPr>
    <w:rPr>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0"/>
    <w:rPr>
      <w:b/>
    </w:rPr>
  </w:style>
  <w:style w:type="character" w:styleId="14">
    <w:name w:val="annotation reference"/>
    <w:basedOn w:val="12"/>
    <w:qFormat/>
    <w:uiPriority w:val="0"/>
    <w:rPr>
      <w:sz w:val="21"/>
      <w:szCs w:val="21"/>
    </w:rPr>
  </w:style>
  <w:style w:type="paragraph" w:customStyle="1" w:styleId="15">
    <w:name w:val="BodyText2"/>
    <w:basedOn w:val="1"/>
    <w:qFormat/>
    <w:uiPriority w:val="0"/>
    <w:pPr>
      <w:spacing w:after="120" w:line="480" w:lineRule="auto"/>
      <w:textAlignment w:val="baseline"/>
    </w:pPr>
    <w:rPr>
      <w:rFonts w:eastAsia="宋体"/>
      <w:sz w:val="32"/>
      <w:szCs w:val="32"/>
    </w:rPr>
  </w:style>
  <w:style w:type="paragraph" w:customStyle="1" w:styleId="16">
    <w:name w:val="标准文件_段"/>
    <w:link w:val="23"/>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7">
    <w:name w:val="段"/>
    <w:qFormat/>
    <w:uiPriority w:val="0"/>
    <w:pPr>
      <w:tabs>
        <w:tab w:val="center" w:pos="4201"/>
        <w:tab w:val="right" w:leader="dot" w:pos="9298"/>
      </w:tabs>
      <w:autoSpaceDE w:val="0"/>
      <w:autoSpaceDN w:val="0"/>
      <w:ind w:firstLine="420" w:firstLineChars="200"/>
      <w:jc w:val="both"/>
    </w:pPr>
    <w:rPr>
      <w:rFonts w:ascii="宋体" w:hAnsi="Calibri" w:eastAsia="宋体" w:cs="Times New Roman"/>
      <w:sz w:val="21"/>
      <w:lang w:val="en-US" w:eastAsia="zh-CN" w:bidi="ar-SA"/>
    </w:rPr>
  </w:style>
  <w:style w:type="paragraph" w:customStyle="1" w:styleId="18">
    <w:name w:val="标准文件_章标题"/>
    <w:next w:val="16"/>
    <w:qFormat/>
    <w:uiPriority w:val="0"/>
    <w:pPr>
      <w:numPr>
        <w:ilvl w:val="1"/>
        <w:numId w:val="1"/>
      </w:numPr>
      <w:spacing w:beforeLines="100" w:afterLines="100"/>
      <w:jc w:val="both"/>
      <w:outlineLvl w:val="0"/>
    </w:pPr>
    <w:rPr>
      <w:rFonts w:ascii="黑体" w:hAnsi="Times New Roman" w:eastAsia="黑体" w:cs="Times New Roman"/>
      <w:sz w:val="21"/>
      <w:lang w:val="en-US" w:eastAsia="zh-CN" w:bidi="ar-SA"/>
    </w:rPr>
  </w:style>
  <w:style w:type="paragraph" w:customStyle="1" w:styleId="19">
    <w:name w:val="标准文件_一级条标题"/>
    <w:basedOn w:val="18"/>
    <w:next w:val="16"/>
    <w:qFormat/>
    <w:uiPriority w:val="0"/>
    <w:pPr>
      <w:numPr>
        <w:ilvl w:val="2"/>
      </w:numPr>
      <w:spacing w:beforeLines="50" w:afterLines="50"/>
      <w:outlineLvl w:val="1"/>
    </w:pPr>
  </w:style>
  <w:style w:type="character" w:customStyle="1" w:styleId="20">
    <w:name w:val="15"/>
    <w:basedOn w:val="12"/>
    <w:qFormat/>
    <w:uiPriority w:val="0"/>
    <w:rPr>
      <w:rFonts w:hint="default" w:ascii="Times New Roman" w:hAnsi="Times New Roman" w:cs="Times New Roman"/>
      <w:i/>
      <w:iCs/>
    </w:rPr>
  </w:style>
  <w:style w:type="character" w:customStyle="1" w:styleId="21">
    <w:name w:val="页眉 字符"/>
    <w:basedOn w:val="12"/>
    <w:link w:val="8"/>
    <w:qFormat/>
    <w:uiPriority w:val="0"/>
    <w:rPr>
      <w:rFonts w:eastAsiaTheme="minorEastAsia" w:cstheme="minorBidi"/>
      <w:kern w:val="2"/>
      <w:sz w:val="18"/>
      <w:szCs w:val="18"/>
    </w:rPr>
  </w:style>
  <w:style w:type="character" w:customStyle="1" w:styleId="22">
    <w:name w:val="批注框文本 字符"/>
    <w:basedOn w:val="12"/>
    <w:link w:val="6"/>
    <w:qFormat/>
    <w:uiPriority w:val="0"/>
    <w:rPr>
      <w:rFonts w:eastAsiaTheme="minorEastAsia" w:cstheme="minorBidi"/>
      <w:kern w:val="2"/>
      <w:sz w:val="18"/>
      <w:szCs w:val="18"/>
    </w:rPr>
  </w:style>
  <w:style w:type="character" w:customStyle="1" w:styleId="23">
    <w:name w:val="标准文件_段 Char"/>
    <w:link w:val="16"/>
    <w:qFormat/>
    <w:uiPriority w:val="0"/>
    <w:rPr>
      <w:rFonts w:ascii="宋体"/>
      <w:sz w:val="21"/>
    </w:rPr>
  </w:style>
  <w:style w:type="paragraph" w:customStyle="1" w:styleId="24">
    <w:name w:val="修订1"/>
    <w:hidden/>
    <w:unhideWhenUsed/>
    <w:qFormat/>
    <w:uiPriority w:val="99"/>
    <w:rPr>
      <w:rFonts w:ascii="Times New Roman" w:hAnsi="Times New Roman" w:eastAsiaTheme="minorEastAsia" w:cstheme="minorBidi"/>
      <w:kern w:val="2"/>
      <w:sz w:val="15"/>
      <w:szCs w:val="15"/>
      <w:lang w:val="en-US" w:eastAsia="zh-CN" w:bidi="ar-SA"/>
    </w:rPr>
  </w:style>
  <w:style w:type="character" w:customStyle="1" w:styleId="25">
    <w:name w:val="页脚 字符"/>
    <w:basedOn w:val="12"/>
    <w:link w:val="7"/>
    <w:qFormat/>
    <w:uiPriority w:val="99"/>
    <w:rPr>
      <w:rFonts w:eastAsiaTheme="minorEastAsia" w:cstheme="minorBidi"/>
      <w:kern w:val="2"/>
      <w:sz w:val="18"/>
      <w:szCs w:val="18"/>
    </w:rPr>
  </w:style>
  <w:style w:type="paragraph" w:customStyle="1" w:styleId="26">
    <w:name w:val="修订2"/>
    <w:hidden/>
    <w:unhideWhenUsed/>
    <w:qFormat/>
    <w:uiPriority w:val="99"/>
    <w:rPr>
      <w:rFonts w:ascii="Times New Roman" w:hAnsi="Times New Roman" w:eastAsiaTheme="minorEastAsia" w:cstheme="minorBidi"/>
      <w:kern w:val="2"/>
      <w:sz w:val="15"/>
      <w:szCs w:val="15"/>
      <w:lang w:val="en-US" w:eastAsia="zh-CN" w:bidi="ar-SA"/>
    </w:rPr>
  </w:style>
  <w:style w:type="paragraph" w:customStyle="1" w:styleId="27">
    <w:name w:val="标准文件_一级无标题"/>
    <w:qFormat/>
    <w:uiPriority w:val="0"/>
    <w:rPr>
      <w:rFonts w:ascii="宋体" w:hAnsi="宋体" w:eastAsia="黑体" w:cs="Times New Roman"/>
      <w:lang w:val="en-US" w:eastAsia="zh-CN" w:bidi="ar-SA"/>
    </w:rPr>
  </w:style>
  <w:style w:type="character" w:customStyle="1" w:styleId="28">
    <w:name w:val="标准文件_术语条一 Char"/>
    <w:link w:val="29"/>
    <w:qFormat/>
    <w:uiPriority w:val="0"/>
    <w:rPr>
      <w:b/>
    </w:rPr>
  </w:style>
  <w:style w:type="paragraph" w:customStyle="1" w:styleId="29">
    <w:name w:val="标准文件_术语条一"/>
    <w:basedOn w:val="27"/>
    <w:next w:val="16"/>
    <w:link w:val="28"/>
    <w:qFormat/>
    <w:uiPriority w:val="0"/>
    <w:rPr>
      <w:b/>
    </w:rPr>
  </w:style>
  <w:style w:type="paragraph" w:customStyle="1" w:styleId="30">
    <w:name w:val="标准文件_术语条二"/>
    <w:basedOn w:val="31"/>
    <w:next w:val="16"/>
    <w:qFormat/>
    <w:uiPriority w:val="0"/>
    <w:pPr>
      <w:ind w:left="567"/>
    </w:pPr>
  </w:style>
  <w:style w:type="paragraph" w:customStyle="1" w:styleId="31">
    <w:name w:val="标准文件_二级无标题"/>
    <w:basedOn w:val="32"/>
    <w:qFormat/>
    <w:uiPriority w:val="0"/>
    <w:pPr>
      <w:spacing w:beforeLines="0" w:afterLines="0"/>
      <w:outlineLvl w:val="9"/>
    </w:pPr>
    <w:rPr>
      <w:rFonts w:ascii="宋体" w:eastAsia="宋体"/>
    </w:rPr>
  </w:style>
  <w:style w:type="paragraph" w:customStyle="1" w:styleId="32">
    <w:name w:val="标准文件_二级条标题"/>
    <w:next w:val="16"/>
    <w:qFormat/>
    <w:uiPriority w:val="0"/>
    <w:pPr>
      <w:widowControl w:val="0"/>
      <w:numPr>
        <w:ilvl w:val="3"/>
        <w:numId w:val="1"/>
      </w:numPr>
      <w:spacing w:beforeLines="50" w:afterLines="50"/>
      <w:ind w:left="0"/>
      <w:jc w:val="both"/>
      <w:outlineLvl w:val="2"/>
    </w:pPr>
    <w:rPr>
      <w:rFonts w:ascii="黑体" w:hAnsi="Times New Roman" w:eastAsia="黑体" w:cs="Times New Roman"/>
      <w:sz w:val="21"/>
      <w:lang w:val="en-US" w:eastAsia="zh-CN" w:bidi="ar-SA"/>
    </w:rPr>
  </w:style>
  <w:style w:type="paragraph" w:customStyle="1" w:styleId="33">
    <w:name w:val="修订3"/>
    <w:hidden/>
    <w:unhideWhenUsed/>
    <w:qFormat/>
    <w:uiPriority w:val="99"/>
    <w:rPr>
      <w:rFonts w:ascii="Times New Roman" w:hAnsi="Times New Roman" w:eastAsiaTheme="minorEastAsia" w:cstheme="minorBidi"/>
      <w:kern w:val="2"/>
      <w:sz w:val="15"/>
      <w:szCs w:val="15"/>
      <w:lang w:val="en-US" w:eastAsia="zh-CN" w:bidi="ar-SA"/>
    </w:rPr>
  </w:style>
  <w:style w:type="paragraph" w:customStyle="1" w:styleId="34">
    <w:name w:val="修订4"/>
    <w:hidden/>
    <w:unhideWhenUsed/>
    <w:qFormat/>
    <w:uiPriority w:val="99"/>
    <w:rPr>
      <w:rFonts w:ascii="Times New Roman" w:hAnsi="Times New Roman" w:eastAsiaTheme="minorEastAsia" w:cstheme="minorBidi"/>
      <w:kern w:val="2"/>
      <w:sz w:val="15"/>
      <w:szCs w:val="15"/>
      <w:lang w:val="en-US" w:eastAsia="zh-CN" w:bidi="ar-SA"/>
    </w:rPr>
  </w:style>
  <w:style w:type="paragraph" w:customStyle="1" w:styleId="35">
    <w:name w:val="修订5"/>
    <w:hidden/>
    <w:unhideWhenUsed/>
    <w:qFormat/>
    <w:uiPriority w:val="99"/>
    <w:rPr>
      <w:rFonts w:ascii="Times New Roman" w:hAnsi="Times New Roman" w:eastAsiaTheme="minorEastAsia" w:cstheme="minorBidi"/>
      <w:kern w:val="2"/>
      <w:sz w:val="15"/>
      <w:szCs w:val="15"/>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numbering" Target="numbering.xml"/><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758642c8-4808-497e-9976-931577b957eb</errorID>
      <errorWord>《南宁老友粉原料  竹笋种苗繁育技术规程》（征求意见稿）</errorWord>
      <group>L1_Knowledge</group>
      <groupName>知识性问题</groupName>
      <ability>L2_Knowledge</ability>
      <abilityName>其他知识</abilityName>
      <candidateList>
        <item>《南宁老友粉原料  竹笋种苗繁育技术规程（征求意见稿）》</item>
      </candidateList>
      <explain>疑似政策文件、法律法规名称等书写不规范，请注意检查。</explain>
      <paraID>2C7E41E4</paraID>
      <start>0</start>
      <end>28</end>
      <status>ignored</status>
      <modifiedWord/>
      <trackRevisions>false</trackRevisions>
    </reviewItem>
    <reviewItem>
      <errorID>233a17d4-7c30-45f2-9ae5-513bd7cdce85</errorID>
      <errorWord>主食</errorWord>
      <group>L1_AI</group>
      <groupName>深度校对</groupName>
      <ability>L2_AI_Word</ability>
      <abilityName>字词纠错</abilityName>
      <candidateList>
        <item>主料</item>
      </candidateList>
      <explain/>
      <paraID>285235C3</paraID>
      <start>8</start>
      <end>10</end>
      <status>modified</status>
      <modifiedWord>主料</modifiedWord>
      <trackRevisions>false</trackRevisions>
    </reviewItem>
    <reviewItem>
      <errorID>773c0122-3f9b-4fef-9e12-a6d5de9d41ec</errorID>
      <errorWord>笋是</errorWord>
      <group>L1_AI</group>
      <groupName>深度校对</groupName>
      <ability>L2_AI_Word</ability>
      <abilityName>字词纠错</abilityName>
      <candidateList>
        <item>笋</item>
      </candidateList>
      <explain/>
      <paraID>285235C3</paraID>
      <start>118</start>
      <end>120</end>
      <status>ignored</status>
      <modifiedWord/>
      <trackRevisions>false</trackRevisions>
    </reviewItem>
    <reviewItem>
      <errorID>ee4befe8-5c0e-4443-8a2e-f29e53342fbb</errorID>
      <errorWord>，</errorWord>
      <group>L1_AI</group>
      <groupName>深度校对</groupName>
      <ability>L2_AI_Punc</ability>
      <abilityName>标点纠错</abilityName>
      <candidateList>
        <item>：</item>
      </candidateList>
      <explain/>
      <paraID> 8EFF5BD</paraID>
      <start>278</start>
      <end>279</end>
      <status>modified</status>
      <modifiedWord>：</modifiedWord>
      <trackRevisions>false</trackRevisions>
    </reviewItem>
    <reviewItem>
      <errorID>9bf20ff8-c6e2-4334-97ae-6951e1ea9eb2</errorID>
      <errorWord>万斤</errorWord>
      <group>L1_Knowledge</group>
      <groupName>知识性问题</groupName>
      <ability>L2_Knowledge</ability>
      <abilityName>其他知识</abilityName>
      <candidateList/>
      <explain>非法定单位</explain>
      <paraID> 8EFF5BD</paraID>
      <start>332</start>
      <end>334</end>
      <status>ignored</status>
      <modifiedWord/>
      <trackRevisions>false</trackRevisions>
    </reviewItem>
    <reviewItem>
      <errorID>5e56b682-b8cb-4fdd-9750-df22d99ce3dd</errorID>
      <errorWord>都</errorWord>
      <group>L1_AI</group>
      <groupName>深度校对</groupName>
      <ability>L2_AI_Grammar</ability>
      <abilityName>语法纠错</abilityName>
      <candidateList>
        <item>方面都</item>
      </candidateList>
      <explain/>
      <paraID> 8EFF5BD</paraID>
      <start>523</start>
      <end>526</end>
      <status>modified</status>
      <modifiedWord>方面都</modifiedWord>
      <trackRevisions>false</trackRevisions>
    </reviewItem>
    <reviewItem>
      <errorID>f423cd5d-dedc-4c15-b3b7-e1ae896e2a16</errorID>
      <errorWord>对</errorWord>
      <group>L1_AI</group>
      <groupName>深度校对</groupName>
      <ability>L2_AI_Punc</ability>
      <abilityName>标点纠错</abilityName>
      <candidateList>
        <item>，对</item>
      </candidateList>
      <explain/>
      <paraID> 8EFF5BD</paraID>
      <start>545</start>
      <end>547</end>
      <status>modified</status>
      <modifiedWord>，对</modifiedWord>
      <trackRevisions>false</trackRevisions>
    </reviewItem>
    <reviewItem>
      <errorID>d7c97032-e36a-4897-b019-3b809785e56a</errorID>
      <errorWord>"</errorWord>
      <group>L1_Format</group>
      <groupName>格式问题</groupName>
      <ability>L2_HalfPunc</ability>
      <abilityName>全半角检查</abilityName>
      <candidateList>
        <item>“</item>
      </candidateList>
      <explain>文本全半角错误。</explain>
      <paraID>22F0BF99</paraID>
      <start>193</start>
      <end>194</end>
      <status>modified</status>
      <modifiedWord>“</modifiedWord>
      <trackRevisions>false</trackRevisions>
    </reviewItem>
    <reviewItem>
      <errorID>3cbc07fd-aead-49cc-91dd-d2884089e322</errorID>
      <errorWord>"</errorWord>
      <group>L1_Format</group>
      <groupName>格式问题</groupName>
      <ability>L2_HalfPunc</ability>
      <abilityName>全半角检查</abilityName>
      <candidateList>
        <item>”</item>
      </candidateList>
      <explain>文本全半角错误。</explain>
      <paraID>22F0BF99</paraID>
      <start>199</start>
      <end>200</end>
      <status>modified</status>
      <modifiedWord>”</modifiedWord>
      <trackRevisions>false</trackRevisions>
    </reviewItem>
    <reviewItem>
      <errorID>cf6f16df-a78f-408a-82e4-2485fc07cb6f</errorID>
      <errorWord>国内</errorWord>
      <group>L1_AI</group>
      <groupName>深度校对</groupName>
      <ability>L2_AI_Grammar</ability>
      <abilityName>语法纠错</abilityName>
      <candidateList>
        <item>查询国内</item>
      </candidateList>
      <explain/>
      <paraID>22FB5AA9</paraID>
      <start>26</start>
      <end>30</end>
      <status>modified</status>
      <modifiedWord>查询国内</modifiedWord>
      <trackRevisions>false</trackRevisions>
    </reviewItem>
    <reviewItem>
      <errorID>893b4de7-c551-4761-adce-cb99f117ecfd</errorID>
      <errorWord>的查询、对</errorWord>
      <group>L1_AI</group>
      <groupName>深度校对</groupName>
      <ability>L2_AI_Grammar</ability>
      <abilityName>语法纠错</abilityName>
      <candidateList>
        <item>，收集</item>
      </candidateList>
      <explain/>
      <paraID>22FB5AA9</paraID>
      <start>43</start>
      <end>46</end>
      <status>modified</status>
      <modifiedWord>，收集</modifiedWord>
      <trackRevisions>false</trackRevisions>
    </reviewItem>
    <reviewItem>
      <errorID>42716adc-997c-4a18-b540-726be1a5cf27</errorID>
      <errorWord>、</errorWord>
      <group>L1_AI</group>
      <groupName>深度校对</groupName>
      <ability>L2_AI_Punc</ability>
      <abilityName>标点纠错</abilityName>
      <candidateList>
        <item>，</item>
      </candidateList>
      <explain/>
      <paraID>22FB5AA9</paraID>
      <start>60</start>
      <end>61</end>
      <status>modified</status>
      <modifiedWord>，</modifiedWord>
      <trackRevisions>false</trackRevisions>
    </reviewItem>
    <reviewItem>
      <errorID>740daddf-ed98-4df9-94d1-0391402a9104</errorID>
      <errorWord>送审稿及编制说明的编写工作</errorWord>
      <group>L1_AI</group>
      <groupName>深度校对</groupName>
      <ability>L2_AI_Grammar</ability>
      <abilityName>语法纠错</abilityName>
      <candidateList>
        <item>送审稿</item>
      </candidateList>
      <explain/>
      <paraID>1FD1DA11</paraID>
      <start>27</start>
      <end>30</end>
      <status>modified</status>
      <modifiedWord>送审稿</modifiedWord>
      <trackRevisions>false</trackRevisions>
    </reviewItem>
    <reviewItem>
      <errorID>0d0d1645-ea59-42a4-a2db-75c6d986b3df</errorID>
      <errorWord>  </errorWord>
      <group>L1_AI</group>
      <groupName>深度校对</groupName>
      <ability>L2_AI_Punc</ability>
      <abilityName>标点纠错</abilityName>
      <candidateList>
        <item/>
      </candidateList>
      <explain>此处空格冗余，建议删除。</explain>
      <paraID>44359487</paraID>
      <start>21</start>
      <end>23</end>
      <status>ignored</status>
      <modifiedWord/>
      <trackRevisions>false</trackRevisions>
    </reviewItem>
    <reviewItem>
      <errorID>49ba0246-f30b-41d4-80a8-40e8afe37cff</errorID>
      <errorWord>相关</errorWord>
      <group>L1_AI</group>
      <groupName>深度校对</groupName>
      <ability>L2_AI_Word</ability>
      <abilityName>字词纠错</abilityName>
      <candidateList>
        <item>的相关</item>
      </candidateList>
      <explain/>
      <paraID>44359487</paraID>
      <start>29</start>
      <end>32</end>
      <status>modified</status>
      <modifiedWord>的相关</modifiedWord>
      <trackRevisions>false</trackRevisions>
    </reviewItem>
    <reviewItem>
      <errorID>12fc55a7-22cb-490e-90f1-66fd98f3afe4</errorID>
      <errorWord>~</errorWord>
      <group>L1_Format</group>
      <groupName>格式问题</groupName>
      <ability>L2_HalfPunc</ability>
      <abilityName>全半角检查</abilityName>
      <candidateList>
        <item>～</item>
      </candidateList>
      <explain>文本全半角错误。</explain>
      <paraID>41A71CE5</paraID>
      <start>48</start>
      <end>49</end>
      <status>modified</status>
      <modifiedWord>～</modifiedWord>
      <trackRevisions>false</trackRevisions>
    </reviewItem>
    <reviewItem>
      <errorID>c66d1f5d-c47d-40b7-869c-f993ca239958</errorID>
      <errorWord>化化</errorWord>
      <group>L1_Word</group>
      <groupName>字词问题</groupName>
      <ability>L2_Typo</ability>
      <abilityName>字词错误</abilityName>
      <candidateList>
        <item>化</item>
      </candidateList>
      <explain>〈动〉（僧道）向人求布施：募～｜～缘｜～斋｜～了些米面来。</explain>
      <paraID>51306E21</paraID>
      <start>68</start>
      <end>69</end>
      <status>modified</status>
      <modifiedWord>化</modifiedWord>
      <trackRevisions>false</trackRevisions>
    </reviewItem>
    <reviewItem>
      <errorID>53ff325a-864e-43dc-b739-773e1e9ed953</errorID>
      <errorWord>行</errorWord>
      <group>L1_Word</group>
      <groupName>字词问题</groupName>
      <ability>L2_Typo</ability>
      <abilityName>字词错误</abilityName>
      <candidateList>
        <item>行优</item>
      </candidateList>
      <explain/>
      <paraID>51306E21</paraID>
      <start>228</start>
      <end>230</end>
      <status>modified</status>
      <modifiedWord>行优</modifiedWord>
      <trackRevisions>false</trackRevisions>
    </reviewItem>
    <reviewItem>
      <errorID>7b01dfca-8587-41f8-a7eb-28dbca7483ba</errorID>
      <errorWord>《南宁老友粉原料  竹笋种苗繁育技术规程》（草案）</errorWord>
      <group>L1_Knowledge</group>
      <groupName>知识性问题</groupName>
      <ability>L2_Knowledge</ability>
      <abilityName>其他知识</abilityName>
      <candidateList>
        <item>《南宁老友粉原料  竹笋种苗繁育技术规程（草案）》</item>
      </candidateList>
      <explain>疑似政策文件、法律法规名称等书写不规范，请注意检查。</explain>
      <paraID>5434D91C</paraID>
      <start>136</start>
      <end>161</end>
      <status>ignored</status>
      <modifiedWord/>
      <trackRevisions>false</trackRevisions>
    </reviewItem>
    <reviewItem>
      <errorID>c0f2b47f-732b-44c0-9f5c-29317744406d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7E742D31</paraID>
      <start>8</start>
      <end>9</end>
      <status>ignored</status>
      <modifiedWord/>
      <trackRevisions>false</trackRevisions>
    </reviewItem>
    <reviewItem>
      <errorID>022d7cb3-d96b-4451-b6bb-e3aec6772659</errorID>
      <errorWord>《南宁老友粉原料  竹笋种苗繁育技术规程》（征求意见稿）</errorWord>
      <group>L1_Knowledge</group>
      <groupName>知识性问题</groupName>
      <ability>L2_Knowledge</ability>
      <abilityName>其他知识</abilityName>
      <candidateList>
        <item>《南宁老友粉原料  竹笋种苗繁育技术规程（征求意见稿）》</item>
      </candidateList>
      <explain>疑似政策文件、法律法规名称等书写不规范，请注意检查。</explain>
      <paraID>7E742D31</paraID>
      <start>378</start>
      <end>406</end>
      <status>ignored</status>
      <modifiedWord/>
      <trackRevisions>false</trackRevisions>
    </reviewItem>
    <reviewItem>
      <errorID>2a369137-fa32-4e5b-943b-95b32deff052</errorID>
      <errorWord>》</errorWord>
      <group>L1_Punc</group>
      <groupName>标点问题</groupName>
      <ability>L2_Punc</ability>
      <abilityName>标点符号检查</abilityName>
      <candidateList/>
      <explain>此处标点可能未正确匹配，请检查句子中是否存在标点冗余、缺失或使用错误的情况。</explain>
      <paraID>3088EF77</paraID>
      <start>79</start>
      <end>80</end>
      <status>ignored</status>
      <modifiedWord/>
      <trackRevisions>false</trackRevisions>
    </reviewItem>
    <reviewItem>
      <errorID>1cc9dce9-5bb6-4801-8e08-422c567e2619</errorID>
      <errorWord>，从</errorWord>
      <group>L1_Word</group>
      <groupName>字词问题</groupName>
      <ability>L2_Typo</ability>
      <abilityName>字词错误</abilityName>
      <candidateList>
        <item>，</item>
      </candidateList>
      <explain/>
      <paraID>3F348796</paraID>
      <start>34</start>
      <end>35</end>
      <status>modified</status>
      <modifiedWord>，</modifiedWord>
      <trackRevisions>false</trackRevisions>
    </reviewItem>
    <reviewItem>
      <errorID>981b1569-3a19-4fea-8a98-094df45b8068</errorID>
      <errorWord>粘重</errorWord>
      <group>L1_Word</group>
      <groupName>字词问题</groupName>
      <ability>L2_Alias</ability>
      <abilityName>也作/曾用词</abilityName>
      <candidateList>
        <item>黏重</item>
      </candidateList>
      <explain>词汇[粘重]为不规范表述或旧称，其规范书面表述为[黏重]。</explain>
      <paraID>6915FBFC</paraID>
      <start>58</start>
      <end>60</end>
      <status>ignored</status>
      <modifiedWord/>
      <trackRevisions>false</trackRevisions>
    </reviewItem>
    <reviewItem>
      <errorID>f5a264f4-d144-4de0-beab-5b8138514447</errorID>
      <errorWord>15%-20%</errorWord>
      <group>L1_Knowledge</group>
      <groupName>知识性问题</groupName>
      <ability>L2_Knowledge</ability>
      <abilityName>其他知识</abilityName>
      <candidateList>
        <item>15%—20%</item>
      </candidateList>
      <explain>1. “15%-20%”中的单位“%”仅出现在后一个数字上，容易引起歧义；根据《现代汉语标点符号数字用法规范手册》，数字表示范围两边需要使用统一的格式。2. 根据标点国标 4.13 中的规则，数字、时间或地域连接符应使用（视觉上更长的）“—”或“～”。</explain>
      <paraID>6915FBFC</paraID>
      <start>64</start>
      <end>71</end>
      <status>ignored</status>
      <modifiedWord/>
      <trackRevisions>false</trackRevisions>
    </reviewItem>
    <reviewItem>
      <errorID>2446aa6b-eba0-4f29-b327-3fad810cc09a</errorID>
      <errorWord>既</errorWord>
      <group>L1_Word</group>
      <groupName>字词问题</groupName>
      <ability>L2_Typo</ability>
      <abilityName>字词错误</abilityName>
      <candidateList>
        <item>既有</item>
      </candidateList>
      <explain/>
      <paraID>142A2666</paraID>
      <start>247</start>
      <end>249</end>
      <status>modified</status>
      <modifiedWord>既有</modifiedWord>
      <trackRevisions>false</trackRevisions>
    </reviewItem>
    <reviewItem>
      <errorID>91d52a54-d322-4bb5-8dc7-40245c6c2208</errorID>
      <errorWord>87.8%-90.5%</errorWord>
      <group>L1_Knowledge</group>
      <groupName>知识性问题</groupName>
      <ability>L2_Knowledge</ability>
      <abilityName>其他知识</abilityName>
      <candidateList>
        <item>87.8%—90.5%</item>
      </candidateList>
      <explain>1. “87.8%-90.5%”中的单位“%”仅出现在后一个数字上，容易引起歧义；根据《现代汉语标点符号数字用法规范手册》，数字表示范围两边需要使用统一的格式。2. 根据标点国标 4.13 中的规则，数字、时间或地域连接符应使用（视觉上更长的）“—”或“～”。</explain>
      <paraID> 128952F</paraID>
      <start>67</start>
      <end>78</end>
      <status>modified</status>
      <modifiedWord>87.8%—90.5%</modifiedWord>
      <trackRevisions>false</trackRevisions>
    </reviewItem>
    <reviewItem>
      <errorID>ace12546-3fff-4df5-b1bc-bdda9cebb7bf</errorID>
      <errorWord>86.7%-91.2%</errorWord>
      <group>L1_Knowledge</group>
      <groupName>知识性问题</groupName>
      <ability>L2_Knowledge</ability>
      <abilityName>其他知识</abilityName>
      <candidateList>
        <item>86.7%—91.2%</item>
      </candidateList>
      <explain>1. “86.7%-91.2%”中的单位“%”仅出现在后一个数字上，容易引起歧义；根据《现代汉语标点符号数字用法规范手册》，数字表示范围两边需要使用统一的格式。2. 根据标点国标 4.13 中的规则，数字、时间或地域连接符应使用（视觉上更长的）“—”或“～”。</explain>
      <paraID> 128952F</paraID>
      <start>84</start>
      <end>95</end>
      <status>modified</status>
      <modifiedWord>86.7%—91.2%</modifiedWord>
      <trackRevisions>false</trackRevisions>
    </reviewItem>
    <reviewItem>
      <errorID>2c0ce193-a910-4277-b2d0-15ff15d0ab86</errorID>
      <errorWord>85-90%</errorWord>
      <group>L1_Knowledge</group>
      <groupName>知识性问题</groupName>
      <ability>L2_Knowledge</ability>
      <abilityName>其他知识</abilityName>
      <candidateList>
        <item>85%—90%</item>
      </candidateList>
      <explain>1. “85-90%”中的单位“%”仅出现在后一个数字上，容易引起歧义；根据《现代汉语标点符号数字用法规范手册》，数字表示范围两边需要使用统一的格式。2. 根据标点国标 4.13 中的规则，数字、时间或地域连接符应使用（视觉上更长的）“—”或“～”。</explain>
      <paraID>716221F8</paraID>
      <start>40</start>
      <end>47</end>
      <status>modified</status>
      <modifiedWord>85%—90%</modifiedWord>
      <trackRevisions>false</trackRevisions>
    </reviewItem>
    <reviewItem>
      <errorID>780f9a60-84a5-41f7-89cf-1fef87204fe1</errorID>
      <errorWord>15-20%</errorWord>
      <group>L1_Knowledge</group>
      <groupName>知识性问题</groupName>
      <ability>L2_Knowledge</ability>
      <abilityName>其他知识</abilityName>
      <candidateList>
        <item>15%—20%</item>
      </candidateList>
      <explain>1. “15-20%”中的单位“%”仅出现在后一个数字上，容易引起歧义；根据《现代汉语标点符号数字用法规范手册》，数字表示范围两边需要使用统一的格式。2. 根据标点国标 4.13 中的规则，数字、时间或地域连接符应使用（视觉上更长的）“—”或“～”。</explain>
      <paraID>716221F8</paraID>
      <start>57</start>
      <end>64</end>
      <status>modified</status>
      <modifiedWord>15%—20%</modifiedWord>
      <trackRevisions>false</trackRevisions>
    </reviewItem>
    <reviewItem>
      <errorID>4fc5b256-f672-4b28-bc8c-fba83c389398</errorID>
      <errorWord>"</errorWord>
      <group>L1_Format</group>
      <groupName>格式问题</groupName>
      <ability>L2_HalfPunc</ability>
      <abilityName>全半角检查</abilityName>
      <candidateList>
        <item>“</item>
      </candidateList>
      <explain>文本全半角错误。</explain>
      <paraID>5B282BA0</paraID>
      <start>33</start>
      <end>34</end>
      <status>modified</status>
      <modifiedWord>“</modifiedWord>
      <trackRevisions>false</trackRevisions>
    </reviewItem>
    <reviewItem>
      <errorID>3b164695-53dd-4cf4-b0dc-ff9a09c6e7d3</errorID>
      <errorWord>"</errorWord>
      <group>L1_Format</group>
      <groupName>格式问题</groupName>
      <ability>L2_HalfPunc</ability>
      <abilityName>全半角检查</abilityName>
      <candidateList>
        <item>”</item>
      </candidateList>
      <explain>文本全半角错误。</explain>
      <paraID>5B282BA0</paraID>
      <start>53</start>
      <end>54</end>
      <status>modified</status>
      <modifiedWord>”</modifiedWord>
      <trackRevisions>false</trackRevisions>
    </reviewItem>
    <reviewItem>
      <errorID>22fef4d3-b083-4601-95f2-8623aa0db3a3</errorID>
      <errorWord>生活力</errorWord>
      <group>L1_Word</group>
      <groupName>字词问题</groupName>
      <ability>L2_Typo</ability>
      <abilityName>字词错误</abilityName>
      <candidateList>
        <item>生命力</item>
      </candidateList>
      <explain/>
      <paraID> 3E38058</paraID>
      <start>24</start>
      <end>27</end>
      <status>modified</status>
      <modifiedWord>生命力</modifiedWord>
      <trackRevisions>false</trackRevisions>
    </reviewItem>
    <reviewItem>
      <errorID>21df53b2-5488-4a60-8013-35f0daf9ba48</errorID>
      <errorWord>75-85%</errorWord>
      <group>L1_Knowledge</group>
      <groupName>知识性问题</groupName>
      <ability>L2_Knowledge</ability>
      <abilityName>其他知识</abilityName>
      <candidateList>
        <item>75%—85%</item>
      </candidateList>
      <explain>1. “75-85%”中的单位“%”仅出现在后一个数字上，容易引起歧义；根据《现代汉语标点符号数字用法规范手册》，数字表示范围两边需要使用统一的格式。2. 根据标点国标 4.13 中的规则，数字、时间或地域连接符应使用（视觉上更长的）“—”或“～”。</explain>
      <paraID>6EA268BD</paraID>
      <start>61</start>
      <end>68</end>
      <status>modified</status>
      <modifiedWord>75%—85%</modifiedWord>
      <trackRevisions>false</trackRevisions>
    </reviewItem>
    <reviewItem>
      <errorID>b9e05493-4644-4704-a9f1-cd0c3a05c905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75FE98ED</paraID>
      <start>45</start>
      <end>46</end>
      <status>ignored</status>
      <modifiedWord/>
      <trackRevisions>false</trackRevisions>
    </reviewItem>
    <reviewItem>
      <errorID>a89a5066-08d1-41f8-9cbd-89efe74711d0</errorID>
      <errorWord>10-20%</errorWord>
      <group>L1_Knowledge</group>
      <groupName>知识性问题</groupName>
      <ability>L2_Knowledge</ability>
      <abilityName>其他知识</abilityName>
      <candidateList>
        <item>10%—20%</item>
      </candidateList>
      <explain>1. “10-20%”中的单位“%”仅出现在后一个数字上，容易引起歧义；根据《现代汉语标点符号数字用法规范手册》，数字表示范围两边需要使用统一的格式。2. 根据标点国标 4.13 中的规则，数字、时间或地域连接符应使用（视觉上更长的）“—”或“～”。</explain>
      <paraID>230D7761</paraID>
      <start>9</start>
      <end>16</end>
      <status>modified</status>
      <modifiedWord>10%—20%</modifiedWord>
      <trackRevisions>false</trackRevisions>
    </reviewItem>
    <reviewItem>
      <errorID>e29f766a-7547-41dd-9d70-f08185d698b3</errorID>
      <errorWord>60-70%</errorWord>
      <group>L1_Knowledge</group>
      <groupName>知识性问题</groupName>
      <ability>L2_Knowledge</ability>
      <abilityName>其他知识</abilityName>
      <candidateList>
        <item>60%—70%</item>
      </candidateList>
      <explain>1. “60-70%”中的单位“%”仅出现在后一个数字上，容易引起歧义；根据《现代汉语标点符号数字用法规范手册》，数字表示范围两边需要使用统一的格式。2. 根据标点国标 4.13 中的规则，数字、时间或地域连接符应使用（视觉上更长的）“—”或“～”。</explain>
      <paraID>2998C7AB</paraID>
      <start>8</start>
      <end>15</end>
      <status>modified</status>
      <modifiedWord>60%—70%</modifiedWord>
      <trackRevisions>false</trackRevisions>
    </reviewItem>
    <reviewItem>
      <errorID>8945ebd6-4e80-4711-b4fe-b23bcd961c3a</errorID>
      <errorWord>30-50%</errorWord>
      <group>L1_Knowledge</group>
      <groupName>知识性问题</groupName>
      <ability>L2_Knowledge</ability>
      <abilityName>其他知识</abilityName>
      <candidateList>
        <item>30%—50%</item>
      </candidateList>
      <explain>1. “30-50%”中的单位“%”仅出现在后一个数字上，容易引起歧义；根据《现代汉语标点符号数字用法规范手册》，数字表示范围两边需要使用统一的格式。2. 根据标点国标 4.13 中的规则，数字、时间或地域连接符应使用（视觉上更长的）“—”或“～”。</explain>
      <paraID>4913B1BB</paraID>
      <start>28</start>
      <end>35</end>
      <status>modified</status>
      <modifiedWord>30%—50%</modifiedWord>
      <trackRevisions>false</trackRevisions>
    </reviewItem>
    <reviewItem>
      <errorID>644451dd-cc48-43df-b094-101fc34fccec</errorID>
      <errorWord>40-50%</errorWord>
      <group>L1_Knowledge</group>
      <groupName>知识性问题</groupName>
      <ability>L2_Knowledge</ability>
      <abilityName>其他知识</abilityName>
      <candidateList>
        <item>40%—50%</item>
      </candidateList>
      <explain>1. “40-50%”中的单位“%”仅出现在后一个数字上，容易引起歧义；根据《现代汉语标点符号数字用法规范手册》，数字表示范围两边需要使用统一的格式。2. 根据标点国标 4.13 中的规则，数字、时间或地域连接符应使用（视觉上更长的）“—”或“～”。</explain>
      <paraID>3D3176CF</paraID>
      <start>12</start>
      <end>19</end>
      <status>modified</status>
      <modifiedWord>40%—50%</modifiedWord>
      <trackRevisions>false</trackRevisions>
    </reviewItem>
    <reviewItem>
      <errorID>04b25521-a70b-4db0-9fc8-4d5f38e71f8e</errorID>
      <errorWord>30-60%</errorWord>
      <group>L1_Knowledge</group>
      <groupName>知识性问题</groupName>
      <ability>L2_Knowledge</ability>
      <abilityName>其他知识</abilityName>
      <candidateList>
        <item>30%—60%</item>
      </candidateList>
      <explain>1. “30-60%”中的单位“%”仅出现在后一个数字上，容易引起歧义；根据《现代汉语标点符号数字用法规范手册》，数字表示范围两边需要使用统一的格式。2. 根据标点国标 4.13 中的规则，数字、时间或地域连接符应使用（视觉上更长的）“—”或“～”。</explain>
      <paraID>12CD3D43</paraID>
      <start>10</start>
      <end>17</end>
      <status>modified</status>
      <modifiedWord>30%—60%</modifiedWord>
      <trackRevisions>false</trackRevisions>
    </reviewItem>
    <reviewItem>
      <errorID>f25eb2aa-abf5-40e1-be05-37c66e610f85</errorID>
      <errorWord>70-80%</errorWord>
      <group>L1_Knowledge</group>
      <groupName>知识性问题</groupName>
      <ability>L2_Knowledge</ability>
      <abilityName>其他知识</abilityName>
      <candidateList>
        <item>70%—80%</item>
      </candidateList>
      <explain>1. “70-80%”中的单位“%”仅出现在后一个数字上，容易引起歧义；根据《现代汉语标点符号数字用法规范手册》，数字表示范围两边需要使用统一的格式。2. 根据标点国标 4.13 中的规则，数字、时间或地域连接符应使用（视觉上更长的）“—”或“～”。</explain>
      <paraID>3C57D1F4</paraID>
      <start>5</start>
      <end>12</end>
      <status>modified</status>
      <modifiedWord>70%—80%</modifiedWord>
      <trackRevisions>false</trackRevisions>
    </reviewItem>
    <reviewItem>
      <errorID>05a8d513-b237-42b6-9a78-5c7f446df282</errorID>
      <errorWord>繁琐</errorWord>
      <group>L1_Word</group>
      <groupName>字词问题</groupName>
      <ability>L2_Typo</ability>
      <abilityName>字词错误</abilityName>
      <candidateList>
        <item>烦琐</item>
      </candidateList>
      <explain/>
      <paraID>446AD64D</paraID>
      <start>5</start>
      <end>7</end>
      <status>ignored</status>
      <modifiedWord/>
      <trackRevisions>false</trackRevisions>
    </reviewItem>
    <reviewItem>
      <errorID>1ff5a6e7-8eae-46c5-b0d7-71fa43cabb6a</errorID>
      <errorWord>75-85%</errorWord>
      <group>L1_Knowledge</group>
      <groupName>知识性问题</groupName>
      <ability>L2_Knowledge</ability>
      <abilityName>其他知识</abilityName>
      <candidateList>
        <item>75%—85%</item>
      </candidateList>
      <explain>1. “75-85%”中的单位“%”仅出现在后一个数字上，容易引起歧义；根据《现代汉语标点符号数字用法规范手册》，数字表示范围两边需要使用统一的格式。2. 根据标点国标 4.13 中的规则，数字、时间或地域连接符应使用（视觉上更长的）“—”或“～”。</explain>
      <paraID>333BE048</paraID>
      <start>0</start>
      <end>7</end>
      <status>modified</status>
      <modifiedWord>75%—85%</modifiedWord>
      <trackRevisions>false</trackRevisions>
    </reviewItem>
    <reviewItem>
      <errorID>3975ed55-4323-4791-a84f-14aa9407d942</errorID>
      <errorWord>90-95%</errorWord>
      <group>L1_Knowledge</group>
      <groupName>知识性问题</groupName>
      <ability>L2_Knowledge</ability>
      <abilityName>其他知识</abilityName>
      <candidateList>
        <item>90%—95%</item>
      </candidateList>
      <explain>1. “90-95%”中的单位“%”仅出现在后一个数字上，容易引起歧义；根据《现代汉语标点符号数字用法规范手册》，数字表示范围两边需要使用统一的格式。2. 根据标点国标 4.13 中的规则，数字、时间或地域连接符应使用（视觉上更长的）“—”或“～”。</explain>
      <paraID> 65D1F15</paraID>
      <start>0</start>
      <end>7</end>
      <status>modified</status>
      <modifiedWord>90%—95%</modifiedWord>
      <trackRevisions>false</trackRevisions>
    </reviewItem>
    <reviewItem>
      <errorID>e1605c9d-6a41-4966-8c64-fa38aff7aee6</errorID>
      <errorWord>70-80%</errorWord>
      <group>L1_Knowledge</group>
      <groupName>知识性问题</groupName>
      <ability>L2_Knowledge</ability>
      <abilityName>其他知识</abilityName>
      <candidateList>
        <item>70%—80%</item>
      </candidateList>
      <explain>1. “70-80%”中的单位“%”仅出现在后一个数字上，容易引起歧义；根据《现代汉语标点符号数字用法规范手册》，数字表示范围两边需要使用统一的格式。2. 根据标点国标 4.13 中的规则，数字、时间或地域连接符应使用（视觉上更长的）“—”或“～”。</explain>
      <paraID>217A813D</paraID>
      <start>0</start>
      <end>7</end>
      <status>modified</status>
      <modifiedWord>70%—80%</modifiedWord>
      <trackRevisions>false</trackRevisions>
    </reviewItem>
    <reviewItem>
      <errorID>c10a7961-5338-46a5-9f94-3703eec5a205</errorID>
      <errorWord>50-60%</errorWord>
      <group>L1_Knowledge</group>
      <groupName>知识性问题</groupName>
      <ability>L2_Knowledge</ability>
      <abilityName>其他知识</abilityName>
      <candidateList>
        <item>50%—60%</item>
      </candidateList>
      <explain>1. “50-60%”中的单位“%”仅出现在后一个数字上，容易引起歧义；根据《现代汉语标点符号数字用法规范手册》，数字表示范围两边需要使用统一的格式。2. 根据标点国标 4.13 中的规则，数字、时间或地域连接符应使用（视觉上更长的）“—”或“～”。</explain>
      <paraID>2ED0C241</paraID>
      <start>0</start>
      <end>7</end>
      <status>modified</status>
      <modifiedWord>50%—60%</modifiedWord>
      <trackRevisions>false</trackRevisions>
    </reviewItem>
    <reviewItem>
      <errorID>2360a46d-47dd-4522-b541-c0b3a7b5cd27</errorID>
      <errorWord>粘重</errorWord>
      <group>L1_Word</group>
      <groupName>字词问题</groupName>
      <ability>L2_Alias</ability>
      <abilityName>也作/曾用词</abilityName>
      <candidateList>
        <item>黏重</item>
      </candidateList>
      <explain>词汇[粘重]为不规范表述或旧称，其规范书面表述为[黏重]。</explain>
      <paraID> CA47F94</paraID>
      <start>84</start>
      <end>86</end>
      <status>ignored</status>
      <modifiedWord/>
      <trackRevisions>false</trackRevisions>
    </reviewItem>
    <reviewItem>
      <errorID>1b001d0a-4a30-4214-99e6-fb04f40604b8</errorID>
      <errorWord>泥桨</errorWord>
      <group>L1_Word</group>
      <groupName>字词问题</groupName>
      <ability>L2_Typo</ability>
      <abilityName>字词错误</abilityName>
      <candidateList>
        <item>泥浆</item>
      </candidateList>
      <explain/>
      <paraID>6B5A8104</paraID>
      <start>93</start>
      <end>95</end>
      <status>modified</status>
      <modifiedWord>泥浆</modifiedWord>
      <trackRevisions>false</trackRevisions>
    </reviewItem>
    <reviewItem>
      <errorID>1d8a1536-f3c2-44fb-af46-cdda331e48e8</errorID>
      <errorWord>0.1%~0.3%</errorWord>
      <group>L1_Knowledge</group>
      <groupName>知识性问题</groupName>
      <ability>L2_Knowledge</ability>
      <abilityName>其他知识</abilityName>
      <candidateList>
        <item>0.1%～0.3%</item>
      </candidateList>
      <explain>1. “0.1%~0.3%”中的单位“%”仅出现在后一个数字上，容易引起歧义；根据《现代汉语标点符号数字用法规范手册》，数字表示范围两边需要使用统一的格式。2. 根据标点国标 4.13 中的规则，数字、时间或地域连接符应使用（视觉上更长的）“—”或“～”。</explain>
      <paraID>694FCF44</paraID>
      <start>29</start>
      <end>38</end>
      <status>modified</status>
      <modifiedWord>0.1%～0.3%</modifiedWord>
      <trackRevisions>false</trackRevisions>
    </reviewItem>
    <reviewItem>
      <errorID>67861fc8-de41-4d46-b0d2-19aca7e746c5</errorID>
      <errorWord>~</errorWord>
      <group>L1_Format</group>
      <groupName>格式问题</groupName>
      <ability>L2_HalfPunc</ability>
      <abilityName>全半角检查</abilityName>
      <candidateList>
        <item>～</item>
      </candidateList>
      <explain>文本全半角错误。</explain>
      <paraID>694FCF44</paraID>
      <start>96</start>
      <end>97</end>
      <status>modified</status>
      <modifiedWord>～</modifiedWord>
      <trackRevisions>false</trackRevisions>
    </reviewItem>
    <reviewItem>
      <errorID>5d7e0da3-6376-435d-9bb5-908f5483078b</errorID>
      <errorWord>~</errorWord>
      <group>L1_Format</group>
      <groupName>格式问题</groupName>
      <ability>L2_HalfPunc</ability>
      <abilityName>全半角检查</abilityName>
      <candidateList>
        <item>～</item>
      </candidateList>
      <explain>文本全半角错误。</explain>
      <paraID>694FCF44</paraID>
      <start>109</start>
      <end>110</end>
      <status>modified</status>
      <modifiedWord>～</modifiedWord>
      <trackRevisions>false</trackRevisions>
    </reviewItem>
    <reviewItem>
      <errorID>01cb585f-88ae-44a5-92ac-3edd2524841e</errorID>
      <errorWord>~</errorWord>
      <group>L1_Format</group>
      <groupName>格式问题</groupName>
      <ability>L2_HalfPunc</ability>
      <abilityName>全半角检查</abilityName>
      <candidateList>
        <item>～</item>
      </candidateList>
      <explain>文本全半角错误。</explain>
      <paraID>694FCF44</paraID>
      <start>155</start>
      <end>156</end>
      <status>modified</status>
      <modifiedWord>～</modifiedWord>
      <trackRevisions>false</trackRevisions>
    </reviewItem>
    <reviewItem>
      <errorID>9d6c42ef-b516-49a3-8ce7-e145e1eb71ba</errorID>
      <errorWord>，</errorWord>
      <group>L1_Word</group>
      <groupName>字词问题</groupName>
      <ability>L2_Typo</ability>
      <abilityName>字词错误</abilityName>
      <candidateList>
        <item>，因</item>
      </candidateList>
      <explain/>
      <paraID>14D93EEF</paraID>
      <start>99</start>
      <end>101</end>
      <status>modified</status>
      <modifiedWord>，因</modifiedWord>
      <trackRevisions>false</trackRevisions>
    </reviewItem>
    <reviewItem>
      <errorID>04896cfe-e7e0-4ee3-804e-f62aff2560b4</errorID>
      <errorWord>环境适应力</errorWord>
      <group>L1_Knowledge</group>
      <groupName>知识性问题</groupName>
      <ability>L2_Term</ability>
      <abilityName>专业术语</abilityName>
      <candidateList>
        <item>环境适应性</item>
      </candidateList>
      <explain/>
      <paraID>14D93EEF</paraID>
      <start>171</start>
      <end>176</end>
      <status>modified</status>
      <modifiedWord>环境适应性</modifiedWord>
      <trackRevisions>false</trackRevisions>
    </reviewItem>
    <reviewItem>
      <errorID>81d5a6b9-6d3f-49f5-bae8-3b88de3e8443</errorID>
      <errorWord>＜</errorWord>
      <group>L1_Format</group>
      <groupName>格式问题</groupName>
      <ability>L2_HalfPunc</ability>
      <abilityName>全半角检查</abilityName>
      <candidateList>
        <item>&lt;</item>
      </candidateList>
      <explain>文本全半角错误。</explain>
      <paraID>5115D40E</paraID>
      <start>0</start>
      <end>1</end>
      <status>ignored</status>
      <modifiedWord/>
      <trackRevisions>false</trackRevisions>
    </reviewItem>
    <reviewItem>
      <errorID>58f993a6-28f1-4767-96b8-751d98a1917c</errorID>
      <errorWord>～</errorWord>
      <group>L1_Format</group>
      <groupName>格式问题</groupName>
      <ability>L2_HalfPunc</ability>
      <abilityName>全半角检查</abilityName>
      <candidateList>
        <item>~</item>
      </candidateList>
      <explain>文本全半角错误。</explain>
      <paraID>6F4D1F0F</paraID>
      <start>1</start>
      <end>2</end>
      <status>ignored</status>
      <modifiedWord/>
      <trackRevisions>false</trackRevisions>
    </reviewItem>
    <reviewItem>
      <errorID>9d5e2232-f413-4ce6-9af5-2f6894cf77ec</errorID>
      <errorWord>～</errorWord>
      <group>L1_Format</group>
      <groupName>格式问题</groupName>
      <ability>L2_HalfPunc</ability>
      <abilityName>全半角检查</abilityName>
      <candidateList>
        <item>~</item>
      </candidateList>
      <explain>文本全半角错误。</explain>
      <paraID>2A178806</paraID>
      <start>2</start>
      <end>3</end>
      <status>ignored</status>
      <modifiedWord/>
      <trackRevisions>false</trackRevisions>
    </reviewItem>
    <reviewItem>
      <errorID>0846cc05-65d0-400b-80c3-0f239acf5c09</errorID>
      <errorWord>～</errorWord>
      <group>L1_Format</group>
      <groupName>格式问题</groupName>
      <ability>L2_HalfPunc</ability>
      <abilityName>全半角检查</abilityName>
      <candidateList>
        <item>~</item>
      </candidateList>
      <explain>文本全半角错误。</explain>
      <paraID>42CF861F</paraID>
      <start>1</start>
      <end>2</end>
      <status>ignored</status>
      <modifiedWord/>
      <trackRevisions>false</trackRevisions>
    </reviewItem>
    <reviewItem>
      <errorID>340fd707-bf3f-463a-b9cf-054cca4c2c9e</errorID>
      <errorWord>～</errorWord>
      <group>L1_Format</group>
      <groupName>格式问题</groupName>
      <ability>L2_HalfPunc</ability>
      <abilityName>全半角检查</abilityName>
      <candidateList>
        <item>~</item>
      </candidateList>
      <explain>文本全半角错误。</explain>
      <paraID>1A0A6811</paraID>
      <start>1</start>
      <end>2</end>
      <status>ignored</status>
      <modifiedWord/>
      <trackRevisions>false</trackRevisions>
    </reviewItem>
  </reviewItems>
  <config/>
</contractReview>
</file>

<file path=customXml/itemProps1.xml><?xml version="1.0" encoding="utf-8"?>
<ds:datastoreItem xmlns:ds="http://schemas.openxmlformats.org/officeDocument/2006/customXml" ds:itemID="{dc6e068f-8e6b-4cee-ab7c-fb7ab7c57554}">
  <ds:schemaRefs/>
</ds:datastoreItem>
</file>

<file path=docProps/app.xml><?xml version="1.0" encoding="utf-8"?>
<Properties xmlns="http://schemas.openxmlformats.org/officeDocument/2006/extended-properties" xmlns:vt="http://schemas.openxmlformats.org/officeDocument/2006/docPropsVTypes">
  <Template>Normal</Template>
  <Pages>36</Pages>
  <Words>957</Words>
  <Characters>973</Characters>
  <Lines>681</Lines>
  <Paragraphs>951</Paragraphs>
  <TotalTime>1</TotalTime>
  <ScaleCrop>false</ScaleCrop>
  <LinksUpToDate>false</LinksUpToDate>
  <CharactersWithSpaces>980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2025-04-16T13:11:00Z</dcterms:created>
  <dc:creator>Administrator</dc:creator>
  <cp:lastModifiedBy>树年强</cp:lastModifiedBy>
  <cp:lastPrinted>2025-03-05T01:34:00Z</cp:lastPrinted>
  <dcterms:modified xsi:type="dcterms:W3CDTF">2026-03-30T13:17:28Z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66875720091A4D35BD403C006A418CC7_13</vt:lpwstr>
  </property>
  <property fmtid="{D5CDD505-2E9C-101B-9397-08002B2CF9AE}" pid="4" name="KSOTemplateDocerSaveRecord">
    <vt:lpwstr>eyJoZGlkIjoiNmE0MDE4M2RjOWFiNWU0ODQyYTkxNTQ5ODY1MjVmYmQiLCJ1c2VySWQiOiI2Mzk4NzAxMjYifQ==</vt:lpwstr>
  </property>
</Properties>
</file>